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15" w:rsidRPr="00B061A0" w:rsidRDefault="005A4715" w:rsidP="005A4715">
      <w:pPr>
        <w:widowControl w:val="0"/>
        <w:spacing w:line="240" w:lineRule="auto"/>
        <w:ind w:left="7083" w:right="4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xsnew6i6ibs3" w:colFirst="0" w:colLast="0"/>
      <w:bookmarkEnd w:id="0"/>
      <w:r w:rsidRPr="00B061A0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Pr="005A471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061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061A0">
        <w:rPr>
          <w:rFonts w:ascii="Times New Roman" w:hAnsi="Times New Roman" w:cs="Times New Roman"/>
          <w:b/>
          <w:sz w:val="28"/>
          <w:szCs w:val="28"/>
        </w:rPr>
        <w:t xml:space="preserve">до вимог до </w:t>
      </w:r>
      <w:proofErr w:type="spellStart"/>
      <w:r w:rsidRPr="00B061A0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B061A0">
        <w:rPr>
          <w:rFonts w:ascii="Times New Roman" w:hAnsi="Times New Roman" w:cs="Times New Roman"/>
          <w:b/>
          <w:sz w:val="28"/>
          <w:szCs w:val="28"/>
        </w:rPr>
        <w:t xml:space="preserve"> досліджень, які подаються на Конкурс (пункт 3)</w:t>
      </w:r>
    </w:p>
    <w:p w:rsidR="005A4715" w:rsidRDefault="005A4715" w:rsidP="005A471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715" w:rsidRPr="00B061A0" w:rsidRDefault="005A4715" w:rsidP="005A471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sz w:val="24"/>
          <w:szCs w:val="24"/>
        </w:rP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Тематичний напрям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Піднапрям_________________________________________________________________________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Спеціалізація(ї)____________________________________________________________________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663"/>
        <w:rPr>
          <w:rFonts w:ascii="Times New Roman" w:eastAsia="Times New Roman" w:hAnsi="Times New Roman" w:cs="Times New Roman"/>
          <w:sz w:val="24"/>
          <w:szCs w:val="24"/>
        </w:rP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НАУКОВО-ЕКСПЕРТНИЙ ВИСНОВОК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 оцінювання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проведення фундаментального  дослідження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8" w:righ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темою:________________________________________________________________________  _________________________________________________________________________________ _________________________________________________________________________________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ВИМОГИ ДО ПРОЄКТУ ТА ЕКСПЕРТА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30" w:lineRule="auto"/>
        <w:ind w:left="113" w:right="551" w:firstLine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Відповідність представленого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тематичному напряму – ТАК     / НІ      </w:t>
      </w: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5642058</wp:posOffset>
                </wp:positionH>
                <wp:positionV relativeFrom="paragraph">
                  <wp:posOffset>158750</wp:posOffset>
                </wp:positionV>
                <wp:extent cx="190500" cy="21907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100" y="3676813"/>
                          <a:ext cx="177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029E" w:rsidRDefault="00C6029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5642058</wp:posOffset>
                </wp:positionH>
                <wp:positionV relativeFrom="paragraph">
                  <wp:posOffset>158750</wp:posOffset>
                </wp:positionV>
                <wp:extent cx="190500" cy="219075"/>
                <wp:effectExtent b="0" l="0" r="0" t="0"/>
                <wp:wrapNone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5159458</wp:posOffset>
                </wp:positionH>
                <wp:positionV relativeFrom="paragraph">
                  <wp:posOffset>158750</wp:posOffset>
                </wp:positionV>
                <wp:extent cx="190500" cy="219075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100" y="3676813"/>
                          <a:ext cx="177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029E" w:rsidRDefault="00C6029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5159458</wp:posOffset>
                </wp:positionH>
                <wp:positionV relativeFrom="paragraph">
                  <wp:posOffset>158750</wp:posOffset>
                </wp:positionV>
                <wp:extent cx="190500" cy="219075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08" w:right="551" w:firstLine="1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 випадку відповіді «Ні»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відхиляється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4" w:right="67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Відповідність наукового напряму експерта заявленій тематиці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ТАК     / НІ      </w:t>
      </w: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5530850</wp:posOffset>
                </wp:positionH>
                <wp:positionV relativeFrom="paragraph">
                  <wp:posOffset>-6349</wp:posOffset>
                </wp:positionV>
                <wp:extent cx="190500" cy="21907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100" y="3676813"/>
                          <a:ext cx="177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029E" w:rsidRDefault="00C6029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5530850</wp:posOffset>
                </wp:positionH>
                <wp:positionV relativeFrom="paragraph">
                  <wp:posOffset>-6349</wp:posOffset>
                </wp:positionV>
                <wp:extent cx="190500" cy="219075"/>
                <wp:effectExtent b="0" l="0" r="0" t="0"/>
                <wp:wrapNone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5983412</wp:posOffset>
                </wp:positionH>
                <wp:positionV relativeFrom="paragraph">
                  <wp:posOffset>-6349</wp:posOffset>
                </wp:positionV>
                <wp:extent cx="190500" cy="2190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100" y="3676813"/>
                          <a:ext cx="177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029E" w:rsidRDefault="00C6029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5983412</wp:posOffset>
                </wp:positionH>
                <wp:positionV relativeFrom="paragraph">
                  <wp:posOffset>-6349</wp:posOffset>
                </wp:positionV>
                <wp:extent cx="190500" cy="219075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4" w:right="676" w:firstLine="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 випадку відповіді «НІ»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має бути переданий іншому експерту.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41" w:right="36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Під час оцінювання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кожного критерію в розділі 1 та 2 використовується 5-бальна шкала з таким значенням балів: 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41" w:right="36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a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371"/>
      </w:tblGrid>
      <w:tr w:rsidR="00C6029E">
        <w:trPr>
          <w:trHeight w:val="837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відповідає критерію або не може бути оцінений через  відсутність або неповноту інформації, передбаченої цим  критерієм.</w:t>
            </w:r>
          </w:p>
        </w:tc>
      </w:tr>
      <w:tr w:rsidR="00C6029E">
        <w:trPr>
          <w:trHeight w:val="563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Незадовільно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 щодо оцінюваного критерію представлено  неадекватно або вона має критичні недоліки.</w:t>
            </w:r>
          </w:p>
        </w:tc>
      </w:tr>
      <w:tr w:rsidR="00C6029E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Задовільно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цілому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відповідає критерію, але при цьому є суттєві  недоліки.</w:t>
            </w:r>
          </w:p>
        </w:tc>
      </w:tr>
      <w:tr w:rsidR="00C6029E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Добре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відповідає критерію, але є деякі недоліки.</w:t>
            </w:r>
          </w:p>
        </w:tc>
      </w:tr>
      <w:tr w:rsidR="00C6029E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Дуже добре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дуже добре відповідає критерію, але можливе  покращення.</w:t>
            </w:r>
          </w:p>
        </w:tc>
      </w:tr>
      <w:tr w:rsidR="00C6029E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Відмінно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 відповідає критерію повною мірою.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36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Кожен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оцінюється за такими аспектами з відповідною максимальною кількістю  балів для кожного з них (для оцінювання розділів 1, 2, 3 використовуються відповідні  вагові коефіцієнти):  </w:t>
      </w:r>
    </w:p>
    <w:tbl>
      <w:tblPr>
        <w:tblStyle w:val="afffb"/>
        <w:tblW w:w="977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6"/>
        <w:gridCol w:w="7371"/>
      </w:tblGrid>
      <w:tr w:rsidR="00C6029E">
        <w:tc>
          <w:tcPr>
            <w:tcW w:w="2406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Максимальна кількість балів (100 балів)</w:t>
            </w:r>
          </w:p>
        </w:tc>
        <w:tc>
          <w:tcPr>
            <w:tcW w:w="7371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Критерій оцінки</w:t>
            </w:r>
          </w:p>
        </w:tc>
      </w:tr>
      <w:tr w:rsidR="00C6029E">
        <w:tc>
          <w:tcPr>
            <w:tcW w:w="2406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та реалістичність запланованого дослідження (EXCELLENCE)</w:t>
            </w:r>
          </w:p>
        </w:tc>
      </w:tr>
      <w:tr w:rsidR="00C6029E">
        <w:tc>
          <w:tcPr>
            <w:tcW w:w="2406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Значущість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подальшого розвитку науки / техніки / технологій / суспільства  (IMPACT)</w:t>
            </w:r>
          </w:p>
        </w:tc>
      </w:tr>
      <w:tr w:rsidR="00C6029E">
        <w:tc>
          <w:tcPr>
            <w:tcW w:w="2406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Якість та реалістичність запропонованого плану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очікуваних результатів (IMPLEMENTATION)</w:t>
            </w:r>
          </w:p>
        </w:tc>
      </w:tr>
      <w:tr w:rsidR="00C6029E">
        <w:tc>
          <w:tcPr>
            <w:tcW w:w="2406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C6029E" w:rsidRDefault="007846B3">
            <w:pPr>
              <w:widowControl w:val="0"/>
              <w:spacing w:line="229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Науковий доробок виконавців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36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РОЗДІЛ 1. ЯКІСТЬ ЗАПЛАНОВАНОГО ДОСЛІДЖЕННЯ (EXCELLENCE) – 30 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fffc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9"/>
        <w:gridCol w:w="2789"/>
        <w:gridCol w:w="2143"/>
      </w:tblGrid>
      <w:tr w:rsidR="00C6029E">
        <w:trPr>
          <w:trHeight w:val="82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Критерії оцінювання 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Шкала оцінювання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Ваговий 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коефіцієнт</w:t>
            </w:r>
          </w:p>
        </w:tc>
      </w:tr>
      <w:tr w:rsidR="00C6029E">
        <w:trPr>
          <w:trHeight w:val="1392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30" w:lineRule="auto"/>
              <w:ind w:left="117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Ступінь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невідповідністі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тематичним напрямам Конкурсу (затвердженим наказом МОН України про Конкурс). 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рекомендований експертом до участі у конкурсі</w:t>
            </w: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50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1392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Подана вичерпна інформація про сучасний стан  проблеми, на вирішення якої направлений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Надане порівняння з існуючими  аналогами та показано переваги нового підходу до вирішення поставленої проблеми. Надано стислий перелік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сновних положень,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автори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вважають ключовими і на вирішення яких направлений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Наведено вичерпний список посилань.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28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166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Сформульовано мету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детально  описані завдання, які поставлені для  досягнення мети. Ідентифіковано показники, за якими може  бути оцінена повнота досягнення мети  та виконання завдань.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28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2496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4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 Описана та пояснена загальна  методологія, яка буде використана для  вирішення завдань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включаючи  концепції, моделі та припущення, які лежать в  основі роботи. Надано пояснення того, як методологічні  підходи дозволять досягнути цілей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Описана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концепція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підходи до його реалізації.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1,0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28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3322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Описано, як відповідні практики відкритої  науки реалізуються як невід’ємна частина  запропонованої методології. 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4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Показано, як вибір практик та їх  впровадження адаптовані до характеру  роботи, щоб підвищити шанси досягнення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своїх цілей. Описано в який спосіб  буде забезпечений відкритий доступ до 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Наявні затверджені у  ЗВО/НУ стратегічн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документи щодо  відкритої науки. Вказано в який спосіб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буде сприяти їх реалізації.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28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2772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5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Описано процес управління науковими  даними, включно з їх отриманням,  зберіганням та використанням. 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4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Вказано, яким чином дані будуть  використовуватись під час та після  завершення дослідження. Описано, як  управління даними відповідає принципам  FAIR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Findable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Interoperable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Reusable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зокрема щодо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інтероперабельності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повторного викорис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тання даних.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0,6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285"/>
        </w:trPr>
        <w:tc>
          <w:tcPr>
            <w:tcW w:w="4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561"/>
        </w:trPr>
        <w:tc>
          <w:tcPr>
            <w:tcW w:w="97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42" w:lineRule="auto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РАЗОМ за Розділом 1 (0 - 30) 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7" w:right="3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РОЗДІЛ 2. ЗНАЧУЩІСТЬ ПРОЄКТУ ДЛЯ ПОДАЛЬШОГО РОЗВИТКУ НАУКИ /  ТЕХНІКИ / ТЕХНОЛОГІЙ / ЕКОНОМІКИ / СУСПІЛЬСТВА (IMPACT) – 30 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jc w:val="right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</w:p>
    <w:tbl>
      <w:tblPr>
        <w:tblStyle w:val="afffd"/>
        <w:tblW w:w="986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8"/>
        <w:gridCol w:w="2747"/>
        <w:gridCol w:w="2236"/>
      </w:tblGrid>
      <w:tr w:rsidR="00C6029E">
        <w:trPr>
          <w:trHeight w:val="561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Критерії оцінювання 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Шкала оцінювання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Ваговий 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коефіцієнт</w:t>
            </w:r>
          </w:p>
        </w:tc>
      </w:tr>
      <w:tr w:rsidR="00C6029E">
        <w:trPr>
          <w:trHeight w:val="1389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4"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 Докладно представлено очікувані результати (гіпотези,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тощо), які не орієнтовані на безпосереднє 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ичне використання у сфері економіки. Доведено в повній мірі наукову новизну наведених положень на основі їх змістовного порівняння із існуючими аналогами у світовій науці.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spacing w:before="8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285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Коментарі: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29E">
        <w:trPr>
          <w:trHeight w:val="2738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Детально описано вплив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(науковий;  економічний; соціальний)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очікуваних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розвиток  наукового напряму, за яким подана заявка.  Оцінено можливість впливу отриманих  результатів на економічний розвиток країни  (регіону) та їх соціальний вплив. Зазначено  цільо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 групи, які отримають користь від  реалізації завдань та досягнення мети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0,6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288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1665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Описано шляхи поширення результатів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 різних груп, включаючи  наукову спільноту та суспільство. Вказані конкретні шляхи дисемінації та  поширення результатів. 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аплановано кількісні індикатори,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реалістично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виконати і які в повній мірі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дозволяють оцінити результативність наукової складової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1,0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287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2493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Чітко зазначено яким чином результати фундаментальних наукових досліджень можуть мати вплив на створення нових технологічних рішень у перспективі. В якій галузі економіки та сферах суспільного життя вони можуть  бути корисними.  Вказано конкретні шлях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подальшого використання  результатів.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285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3048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43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2.5. Показано яким чином виконання завдань  та досягнення мети будуть впливати на  розвиток керівника та виконавців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їх  навичок та вмінь, кар’єрні перспективи  команди, навчальний процес організації  виконавця (створення нових курсів чи  вдосконал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існуючих), розвиток  потенціалу молодих вчених, в тому числі  аспірантів і студентів.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Вказано конкретний  вплив на розвиток з наведеними кількісними індикаторами.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1,0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285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837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4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План захисту інтелектуальної власності  результатів, створених під час виконання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заплановано кількісні індикатори).</w:t>
            </w:r>
          </w:p>
        </w:tc>
        <w:tc>
          <w:tcPr>
            <w:tcW w:w="2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0,6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029E" w:rsidRDefault="00C6029E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285"/>
        </w:trPr>
        <w:tc>
          <w:tcPr>
            <w:tcW w:w="4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49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98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42" w:lineRule="auto"/>
              <w:ind w:right="18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РАЗОМ за Розділом 2 (0 - 30) 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" w:right="36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РОЗДІЛ 3. ЯКІСТЬ ТА РЕАЛІСТИЧНІСТЬ ЗАПРОПОНОВАНОГО ПЛАНУ ВИКОНАННЯ  ПРОЕКТУ ТА ОЧІКУВАНИХ РЕЗУЛЬТАТІВ (IMPLEMENTATION) – 10 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" w:right="365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tbl>
      <w:tblPr>
        <w:tblStyle w:val="afffe"/>
        <w:tblW w:w="98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4"/>
        <w:gridCol w:w="2789"/>
        <w:gridCol w:w="2220"/>
      </w:tblGrid>
      <w:tr w:rsidR="00C6029E">
        <w:trPr>
          <w:trHeight w:val="561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Критерії оцінювання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Шкала оцінювання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Ваговий  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коефіцієнт</w:t>
            </w: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29" w:lineRule="auto"/>
              <w:ind w:left="115" w:right="1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Обґрунтованість плану роботи, відповідність</w:t>
            </w:r>
          </w:p>
          <w:p w:rsidR="00C6029E" w:rsidRDefault="007846B3">
            <w:pPr>
              <w:widowControl w:val="0"/>
              <w:spacing w:line="229" w:lineRule="auto"/>
              <w:ind w:left="115" w:right="1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часових рамок складності сформульованих</w:t>
            </w:r>
          </w:p>
          <w:p w:rsidR="00C6029E" w:rsidRDefault="007846B3">
            <w:pPr>
              <w:widowControl w:val="0"/>
              <w:spacing w:line="229" w:lineRule="auto"/>
              <w:ind w:left="115" w:right="1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етапів та завдань, чіткість проміжних цілей, їхня</w:t>
            </w:r>
          </w:p>
          <w:p w:rsidR="00C6029E" w:rsidRDefault="007846B3">
            <w:pPr>
              <w:widowControl w:val="0"/>
              <w:spacing w:line="229" w:lineRule="auto"/>
              <w:ind w:left="115" w:right="1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логічна послідовність,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40"/>
        </w:trPr>
        <w:tc>
          <w:tcPr>
            <w:tcW w:w="485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28" w:lineRule="auto"/>
              <w:ind w:left="140" w:right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Виваженість та реалістичність індикаторів реалізації завдань робочих пакетів та їх відповідність меті і завданням проекту».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before="240" w:after="24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before="240" w:after="24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  <w:p w:rsidR="00C6029E" w:rsidRDefault="007846B3">
            <w:pPr>
              <w:widowControl w:val="0"/>
              <w:spacing w:before="240" w:after="24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40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2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spacing w:before="240" w:after="24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spacing w:before="240" w:after="24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Наявність і обґрунтованість оцінки можливих ризиків та передбачення шляхів їх запобігання чи вирішення.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40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3.3. Обґрунтованість спроможності колективу виконати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повному обсязі з урахуванням наявної бази та досвіду виконавців.  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40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30" w:lineRule="auto"/>
              <w:ind w:left="112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Відповідність поставленим завданням  матеріально-технічної бази, обладнання,  дослідницької інфраструктури ЗВО/НУ 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- 5 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440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440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29" w:lineRule="auto"/>
              <w:ind w:left="115"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Наявність позитивної державної атестації наукової діяльності ЗВО/НУ за  напрямом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або 5 </w:t>
            </w:r>
          </w:p>
          <w:p w:rsidR="00C6029E" w:rsidRDefault="007846B3">
            <w:pPr>
              <w:widowControl w:val="0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>
        <w:trPr>
          <w:trHeight w:val="561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29E">
        <w:trPr>
          <w:trHeight w:val="561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561"/>
        </w:trPr>
        <w:tc>
          <w:tcPr>
            <w:tcW w:w="4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 Збалансованість та обґрунтованість загального бюджету проекту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 </w:t>
            </w:r>
          </w:p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29E" w:rsidTr="005A4715">
        <w:trPr>
          <w:trHeight w:val="317"/>
        </w:trPr>
        <w:tc>
          <w:tcPr>
            <w:tcW w:w="4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29E">
        <w:trPr>
          <w:trHeight w:val="561"/>
        </w:trPr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Коментар (є обов'язковим):</w:t>
            </w:r>
          </w:p>
        </w:tc>
        <w:tc>
          <w:tcPr>
            <w:tcW w:w="5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"/>
        <w:tblW w:w="986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1"/>
      </w:tblGrid>
      <w:tr w:rsidR="00C6029E">
        <w:trPr>
          <w:trHeight w:val="440"/>
        </w:trPr>
        <w:tc>
          <w:tcPr>
            <w:tcW w:w="98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spacing w:line="242" w:lineRule="auto"/>
              <w:ind w:right="18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РАЗОМ за Розділом 3 (0 - 10) 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РОЗДІЛ  </w:t>
      </w:r>
      <w:r>
        <w:rPr>
          <w:rFonts w:ascii="Times New Roman" w:eastAsia="Times New Roman" w:hAnsi="Times New Roman" w:cs="Times New Roman"/>
          <w:b/>
          <w:strike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НАУКОВИЙ ДОРОБОК ВИКОНАВЦІВ ПРОЄКТУ – 30  </w:t>
      </w: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ind w:left="111" w:right="363" w:firstLine="5"/>
        <w:jc w:val="both"/>
        <w:rPr>
          <w:rFonts w:ascii="Times New Roman" w:eastAsia="Times New Roman" w:hAnsi="Times New Roman" w:cs="Times New Roman"/>
          <w:b/>
          <w:i/>
        </w:rPr>
      </w:pPr>
      <w:r w:rsidRPr="005A47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4715">
        <w:rPr>
          <w:rFonts w:ascii="Times New Roman" w:eastAsia="Roboto" w:hAnsi="Times New Roman" w:cs="Times New Roman"/>
          <w:sz w:val="24"/>
          <w:szCs w:val="24"/>
        </w:rPr>
        <w:t>за попередні 5 повних календарних років та додатково за рік подання запиту</w:t>
      </w:r>
      <w:r w:rsidRPr="005A471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Оцінюються показники на  відповідність напряму, меті, об’єкту, предмету та завданням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Експерт зобов’язаний  не зараховувати їх у разі повної невідповідності. </w:t>
      </w:r>
      <w:r>
        <w:rPr>
          <w:rFonts w:ascii="Times New Roman" w:eastAsia="Times New Roman" w:hAnsi="Times New Roman" w:cs="Times New Roman"/>
          <w:b/>
          <w:i/>
        </w:rPr>
        <w:t xml:space="preserve">Для оцінювання враховуються показники  керівника та 5 основних виконавців (авторів)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проєкт</w:t>
      </w:r>
      <w:r>
        <w:rPr>
          <w:rFonts w:ascii="Times New Roman" w:eastAsia="Times New Roman" w:hAnsi="Times New Roman" w:cs="Times New Roman"/>
          <w:b/>
          <w:i/>
        </w:rPr>
        <w:t>у</w:t>
      </w:r>
      <w:proofErr w:type="spellEnd"/>
      <w:r>
        <w:rPr>
          <w:rFonts w:ascii="Times New Roman" w:eastAsia="Times New Roman" w:hAnsi="Times New Roman" w:cs="Times New Roman"/>
          <w:b/>
          <w:i/>
        </w:rPr>
        <w:t>.</w:t>
      </w:r>
    </w:p>
    <w:tbl>
      <w:tblPr>
        <w:tblStyle w:val="affff0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812"/>
        <w:gridCol w:w="1701"/>
        <w:gridCol w:w="1559"/>
      </w:tblGrid>
      <w:tr w:rsidR="00C6029E">
        <w:trPr>
          <w:trHeight w:val="897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9"/>
              </w:tabs>
              <w:ind w:right="-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Назви показників доробку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9"/>
              </w:tabs>
              <w:ind w:right="-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(значення показника береться із запиту)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210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Взяти кількість із запиту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39" w:right="55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Обрати відповідні</w:t>
            </w:r>
          </w:p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</w:tr>
      <w:tr w:rsidR="00C6029E" w:rsidTr="005A4715">
        <w:trPr>
          <w:trHeight w:val="440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статей у журналах, що індексуються в  </w:t>
            </w:r>
          </w:p>
          <w:p w:rsidR="00C6029E" w:rsidRPr="005A4715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 w:right="185" w:firstLin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базах даних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мають 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квартиль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Q1-Q4 (на момент опублікування). Для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оборонного і подвійного призначення допускаються відомості  про статті у виданнях, які містять інформацію, що становить  державну таємницю, при ц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ьому, для розрахунку,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квартиль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статей приймається рівним Q4. 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Квартиль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Q, до якого відноситься  журнал, визначається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SCImago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Journal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Ranking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(для БД 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або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Journal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Citation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Reports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(JCR) (для БД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); якщо  журнал має кілька предметних областе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й (категорій) з  однаковими або різними значеннями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квартилей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кожній  області (категорії) або в різних БД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то  зазначається найвище значення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квартилю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C6029E" w:rsidRPr="005A4715" w:rsidRDefault="007846B3">
            <w:pPr>
              <w:widowControl w:val="0"/>
              <w:spacing w:before="6" w:line="230" w:lineRule="auto"/>
              <w:ind w:left="115" w:right="370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(Статті у журналах з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квартилем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Q1-Q2 зараховуються з  коефіцієнтом 2;</w:t>
            </w:r>
          </w:p>
          <w:p w:rsidR="00C6029E" w:rsidRPr="005A4715" w:rsidRDefault="007846B3">
            <w:pPr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проєктів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рямами“Розвиток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людського капіталу, соціальні науки та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журналістика”і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“Гуманітарні науки та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мистецтво”статті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 журналах з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квартилем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Q1-Q4 зараховуються з коефіцієнтом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1 - 2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 w:rsidTr="005A4715">
        <w:trPr>
          <w:trHeight w:val="440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 w:rsidTr="005A4715">
        <w:trPr>
          <w:trHeight w:val="500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 w:rsidTr="005A4715">
        <w:trPr>
          <w:trHeight w:val="75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 w:rsidTr="005A4715">
        <w:trPr>
          <w:trHeight w:val="647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29E" w:rsidTr="005A4715">
        <w:trPr>
          <w:trHeight w:val="645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11 - 15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29E" w:rsidTr="005A4715">
        <w:trPr>
          <w:trHeight w:val="645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і більше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29E">
        <w:trPr>
          <w:trHeight w:val="4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spacing w:line="229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опублікованих статей у наукових фахових журналах  України, що відноситься до категорії «Б», статті у закордонних  наукових виданнях, що не оцінені за п.1. (у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ті, які не мають 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квартилю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а також англомовні тези доповідей у матеріалах  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міжнародних конференцій, що індексуються науково метричними базами даних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також тих статей, які не враховані у п 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11 - 15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16 - 20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Pr="005A4715" w:rsidRDefault="007846B3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монографій за напрямом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опубліковані українською мовою в українських видавництвах, монографій, які опубліковані за кордоном мовами країн ОЕСР та / або ЄС, а також монографії, які містять інформацію, що становить державну таємницю для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боронного і подвійного призначення, або публікацій у виданнях з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квартилями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Q1 – Q2, які не входять у табл. 6.1 (одна стаття рахується як один друкований аркуш). </w:t>
            </w:r>
          </w:p>
          <w:p w:rsidR="00C6029E" w:rsidRPr="005A4715" w:rsidRDefault="007846B3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4" w:name="_heading=h.ejd0zyiu556c" w:colFirst="0" w:colLast="0"/>
            <w:bookmarkEnd w:id="4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(Монографії, які опубліковані за кордоном мовами країн ОЕСР та / або ЄС зараховуються з коефіц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ієнтом 1,5)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line="276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>
        <w:trPr>
          <w:trHeight w:val="2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>
        <w:trPr>
          <w:trHeight w:val="3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і більше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>
        <w:trPr>
          <w:trHeight w:val="3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9E">
        <w:trPr>
          <w:trHeight w:val="3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812"/>
        <w:gridCol w:w="1701"/>
        <w:gridCol w:w="1559"/>
      </w:tblGrid>
      <w:tr w:rsidR="00C6029E">
        <w:trPr>
          <w:trHeight w:val="440"/>
        </w:trPr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spacing w:line="229" w:lineRule="auto"/>
              <w:ind w:left="108" w:right="47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патентів України на винахід, сорт рослин, породу  тварин, корисну модель,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авторського права, а також патентів інших країн, які  обліковуються міжнародними патентними базами.</w:t>
            </w:r>
          </w:p>
          <w:p w:rsidR="00C6029E" w:rsidRPr="005A4715" w:rsidRDefault="007846B3">
            <w:pPr>
              <w:widowControl w:val="0"/>
              <w:spacing w:line="229" w:lineRule="auto"/>
              <w:ind w:left="108" w:right="477" w:firstLine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(Патенти на винахід, сорт рослин, породу тварин  зараховуються 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 коефіцієнтом 2. </w:t>
            </w:r>
          </w:p>
          <w:p w:rsidR="00C6029E" w:rsidRPr="005A4715" w:rsidRDefault="007846B3">
            <w:pPr>
              <w:widowControl w:val="0"/>
              <w:spacing w:before="5" w:line="229" w:lineRule="auto"/>
              <w:ind w:left="115" w:right="442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Патенти інших країн, які обліковуються міжнародними  патентними базами зараховуються з коефіцієнтом 3).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>
        <w:trPr>
          <w:trHeight w:val="440"/>
        </w:trPr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spacing w:line="229" w:lineRule="auto"/>
              <w:ind w:left="115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захищених дисертацій доктора філософії 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(кандидата наук),  доктора наук авторами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під їх керівництвом  (консультуванням). </w:t>
            </w:r>
          </w:p>
          <w:p w:rsidR="00C6029E" w:rsidRPr="005A4715" w:rsidRDefault="007846B3">
            <w:pPr>
              <w:widowControl w:val="0"/>
              <w:spacing w:before="6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(Дисертації доктора наук зараховуються з коефіцієнтом 2).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440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C6029E">
        <w:trPr>
          <w:trHeight w:val="585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і більше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29E" w:rsidRDefault="007846B3">
            <w:pPr>
              <w:widowControl w:val="0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>
        <w:trPr>
          <w:trHeight w:val="612"/>
        </w:trPr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4.6. 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spacing w:line="230" w:lineRule="auto"/>
              <w:ind w:left="114" w:right="46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інституційних наукових грантів, а також грантів з  науковою складовою (наприклад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+,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які  фінансувались закордонними організаціями (окрім  індивідуальних грантів) 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умови надходження коштів на  “науковий” рахунок закладу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/установи)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6029E" w:rsidRPr="005A4715" w:rsidRDefault="007846B3">
            <w:pPr>
              <w:widowControl w:val="0"/>
              <w:spacing w:before="5" w:line="229" w:lineRule="auto"/>
              <w:ind w:left="123" w:right="33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(Гранти Горизонт 2020, Горизонт Європа, НАТО, УНТЦ,  Євратом зараховуються з коефіцієнтом 2).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>
        <w:trPr>
          <w:trHeight w:val="571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C6029E">
        <w:trPr>
          <w:trHeight w:val="270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і більше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C6029E">
        <w:trPr>
          <w:trHeight w:val="612"/>
        </w:trPr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widowControl w:val="0"/>
              <w:spacing w:line="229" w:lineRule="auto"/>
              <w:ind w:left="114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інституційних наукових грантів, які фінансувались за  загальнодержавними конкурсними відборами (окрім  індивідуальних грантів та внутрішніх конкурсів МОН, НАН  тощо) українськими організаціями 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умови надходження  коштів на “науковий” рахунок з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акладу/установи)</w:t>
            </w: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6029E" w:rsidRPr="005A4715" w:rsidRDefault="007846B3">
            <w:pPr>
              <w:widowControl w:val="0"/>
              <w:spacing w:before="6"/>
              <w:ind w:left="1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5" w:name="_heading=h.3znysh7" w:colFirst="0" w:colLast="0"/>
            <w:bookmarkEnd w:id="5"/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(Гранти НФДУ та наукові, науково-технічні роботи та проекти, які фінансуються за рахунок зовнішнього інструменту допомоги Європейського Союзу для виконання зобов’язань України у Рамковій програмі Європейського Союзу з наукових досліджень та інновацій «Гори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зонт 2020»</w:t>
            </w:r>
            <w:r w:rsidRPr="005A4715">
              <w:t xml:space="preserve"> 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зараховуються з коефіцієнтом 1,5).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29E">
        <w:trPr>
          <w:trHeight w:val="571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C6029E">
        <w:trPr>
          <w:trHeight w:val="573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і більше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>
        <w:trPr>
          <w:trHeight w:val="612"/>
        </w:trPr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Pr="005A4715" w:rsidRDefault="007846B3">
            <w:pPr>
              <w:spacing w:after="60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коштів спеціального фонду ЗВО/НУ, залучених авторами на виконання міжнародних та/або державних наукових грантів, які зазначені у </w:t>
            </w:r>
            <w:proofErr w:type="spellStart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A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6.6-6.7, та господарчих договорів (контрактів) із українськими та іноземними замовниками 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 відповідним підтвердження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 довідкою з бухгалтерії закладу/установи за встановленою МОН формою). </w:t>
            </w:r>
          </w:p>
          <w:p w:rsidR="00C6029E" w:rsidRPr="005A4715" w:rsidRDefault="007846B3">
            <w:pPr>
              <w:spacing w:after="60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5A47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Обсяг залучення коштів від міжнародних наукових грантів та контрактів з іноземними замовниками  зараховуються з коефіцієнтом 1,5)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менше 100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100-300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301-750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751-1200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1201-1700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1701-2500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29E">
        <w:trPr>
          <w:trHeight w:val="612"/>
        </w:trPr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C6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2501 і більше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fff2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7"/>
        <w:gridCol w:w="1134"/>
      </w:tblGrid>
      <w:tr w:rsidR="00C6029E">
        <w:trPr>
          <w:trHeight w:val="837"/>
        </w:trPr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Сума показників за Розділами 1 - 4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E" w:rsidRDefault="0078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Сума: </w:t>
            </w:r>
          </w:p>
        </w:tc>
      </w:tr>
    </w:tbl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029E" w:rsidRDefault="007846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підсумовуючий коментар експерта (є обов’язковим): 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029E" w:rsidRDefault="007846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Експерт: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C6029E" w:rsidRDefault="007846B3">
      <w:pPr>
        <w:spacing w:line="240" w:lineRule="auto"/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ПІБ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Дата</w:t>
      </w:r>
    </w:p>
    <w:p w:rsidR="00C6029E" w:rsidRDefault="00C602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right="841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GoBack"/>
      <w:bookmarkEnd w:id="6"/>
    </w:p>
    <w:sectPr w:rsidR="00C6029E">
      <w:pgSz w:w="11900" w:h="16820"/>
      <w:pgMar w:top="691" w:right="420" w:bottom="998" w:left="11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E"/>
    <w:rsid w:val="00401484"/>
    <w:rsid w:val="005A4715"/>
    <w:rsid w:val="00C6029E"/>
    <w:rsid w:val="00C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F013"/>
  <w15:docId w15:val="{4391722C-57F0-4105-9EA3-B2EE9E4F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Revision"/>
    <w:hidden/>
    <w:uiPriority w:val="99"/>
    <w:semiHidden/>
    <w:rsid w:val="007E746E"/>
    <w:pPr>
      <w:spacing w:line="240" w:lineRule="auto"/>
    </w:pPr>
  </w:style>
  <w:style w:type="table" w:styleId="af2">
    <w:name w:val="Table Grid"/>
    <w:basedOn w:val="a1"/>
    <w:uiPriority w:val="39"/>
    <w:rsid w:val="00E75E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Balloon Text"/>
    <w:link w:val="afff"/>
    <w:uiPriority w:val="99"/>
    <w:semiHidden/>
    <w:unhideWhenUsed/>
    <w:rsid w:val="00A221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у виносці Знак"/>
    <w:basedOn w:val="a0"/>
    <w:link w:val="affe"/>
    <w:uiPriority w:val="99"/>
    <w:semiHidden/>
    <w:rsid w:val="00A22188"/>
    <w:rPr>
      <w:rFonts w:ascii="Segoe UI" w:hAnsi="Segoe UI" w:cs="Segoe UI"/>
      <w:sz w:val="18"/>
      <w:szCs w:val="18"/>
    </w:rPr>
  </w:style>
  <w:style w:type="table" w:customStyle="1" w:styleId="afff0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a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b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c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d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e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f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f0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f1">
    <w:basedOn w:val="TableNormal0"/>
    <w:pPr>
      <w:spacing w:line="240" w:lineRule="auto"/>
    </w:pPr>
    <w:tblPr>
      <w:tblStyleRowBandSize w:val="1"/>
      <w:tblStyleColBandSize w:val="1"/>
    </w:tblPr>
  </w:style>
  <w:style w:type="table" w:customStyle="1" w:styleId="affff2">
    <w:basedOn w:val="TableNormal0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UQ5dhLTMnQsMULEHnGH2accVQ==">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8810</Words>
  <Characters>5023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Tolstanova</dc:creator>
  <cp:lastModifiedBy>Glushkovska J.O.</cp:lastModifiedBy>
  <cp:revision>3</cp:revision>
  <dcterms:created xsi:type="dcterms:W3CDTF">2025-09-22T11:12:00Z</dcterms:created>
  <dcterms:modified xsi:type="dcterms:W3CDTF">2025-09-22T11:12:00Z</dcterms:modified>
</cp:coreProperties>
</file>