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92AF" w14:textId="711141AE" w:rsidR="00423A25" w:rsidRPr="00882656" w:rsidRDefault="00423A25">
      <w:pPr>
        <w:shd w:val="clear" w:color="auto" w:fill="FFFFFF"/>
        <w:spacing w:line="240" w:lineRule="auto"/>
        <w:ind w:left="1" w:right="38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8E4272" w14:textId="77777777" w:rsidR="008C574A" w:rsidRPr="005A38A6" w:rsidRDefault="008C574A" w:rsidP="008C574A">
      <w:pPr>
        <w:spacing w:line="240" w:lineRule="auto"/>
        <w:ind w:leftChars="2318" w:left="5102" w:hanging="2"/>
        <w:rPr>
          <w:rFonts w:ascii="Times New Roman" w:eastAsia="Times New Roman" w:hAnsi="Times New Roman" w:cs="Times New Roman"/>
        </w:rPr>
      </w:pPr>
      <w:r w:rsidRPr="005A38A6">
        <w:rPr>
          <w:rFonts w:ascii="Times New Roman" w:eastAsia="Times New Roman" w:hAnsi="Times New Roman" w:cs="Times New Roman"/>
        </w:rPr>
        <w:t>Додаток 1</w:t>
      </w:r>
    </w:p>
    <w:p w14:paraId="3597ED3A" w14:textId="0AFDDD61" w:rsidR="008C574A" w:rsidRPr="005A38A6" w:rsidRDefault="008C574A" w:rsidP="008C574A">
      <w:pPr>
        <w:spacing w:line="240" w:lineRule="auto"/>
        <w:ind w:leftChars="2318" w:left="5102" w:hanging="2"/>
        <w:rPr>
          <w:rFonts w:ascii="Times New Roman" w:eastAsia="Times New Roman" w:hAnsi="Times New Roman" w:cs="Times New Roman"/>
        </w:rPr>
      </w:pPr>
      <w:r w:rsidRPr="005A38A6">
        <w:rPr>
          <w:rFonts w:ascii="Times New Roman" w:eastAsia="Times New Roman" w:hAnsi="Times New Roman" w:cs="Times New Roman"/>
        </w:rPr>
        <w:t xml:space="preserve">до Оголошення про проведення </w:t>
      </w:r>
      <w:r w:rsidR="00C72773" w:rsidRPr="005A38A6">
        <w:rPr>
          <w:rFonts w:ascii="Times New Roman" w:eastAsia="Times New Roman" w:hAnsi="Times New Roman" w:cs="Times New Roman"/>
        </w:rPr>
        <w:t xml:space="preserve">додаткового </w:t>
      </w:r>
      <w:r w:rsidRPr="005A38A6">
        <w:rPr>
          <w:rFonts w:ascii="Times New Roman" w:eastAsia="Times New Roman" w:hAnsi="Times New Roman" w:cs="Times New Roman"/>
        </w:rPr>
        <w:t>конкурсного відбору науково-технічних (експериментальних) розробок за державним замовленням</w:t>
      </w:r>
      <w:r w:rsidR="004C7019" w:rsidRPr="005A38A6">
        <w:rPr>
          <w:rFonts w:ascii="Times New Roman" w:eastAsia="Times New Roman" w:hAnsi="Times New Roman" w:cs="Times New Roman"/>
        </w:rPr>
        <w:t xml:space="preserve"> зі спеціальними умовами</w:t>
      </w:r>
      <w:r w:rsidRPr="005A38A6">
        <w:rPr>
          <w:rFonts w:ascii="Times New Roman" w:eastAsia="Times New Roman" w:hAnsi="Times New Roman" w:cs="Times New Roman"/>
        </w:rPr>
        <w:t>, виконання яких розпочнеться у 2026 році за рахунок коштів державного бюджету</w:t>
      </w:r>
    </w:p>
    <w:p w14:paraId="20748D6F" w14:textId="679072A5" w:rsidR="008C574A" w:rsidRPr="005A38A6" w:rsidRDefault="008C574A" w:rsidP="008C574A">
      <w:pPr>
        <w:widowControl w:val="0"/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629A1E" w14:textId="77777777" w:rsidR="008C574A" w:rsidRPr="005A38A6" w:rsidRDefault="00000000" w:rsidP="008C574A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-1900744589"/>
        </w:sdtPr>
        <w:sdtContent/>
      </w:sdt>
      <w:sdt>
        <w:sdtPr>
          <w:tag w:val="goog_rdk_1"/>
          <w:id w:val="-614368965"/>
        </w:sdtPr>
        <w:sdtContent/>
      </w:sdt>
      <w:r w:rsidR="008C574A" w:rsidRPr="005A38A6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0BBF2C9F" w14:textId="17FBFF2F" w:rsidR="008C574A" w:rsidRPr="005A38A6" w:rsidRDefault="000A1870" w:rsidP="008C574A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участь у конкурсі </w:t>
      </w:r>
      <w:r w:rsidR="008C574A" w:rsidRPr="005A38A6">
        <w:rPr>
          <w:rFonts w:ascii="Times New Roman" w:eastAsia="Times New Roman" w:hAnsi="Times New Roman" w:cs="Times New Roman"/>
          <w:b/>
          <w:sz w:val="24"/>
          <w:szCs w:val="24"/>
        </w:rPr>
        <w:t xml:space="preserve">науково-технічних (експериментальних) розробок за державним замовленням </w:t>
      </w:r>
    </w:p>
    <w:p w14:paraId="401F7A52" w14:textId="2052E89F" w:rsidR="008C574A" w:rsidRPr="005A38A6" w:rsidRDefault="008C574A" w:rsidP="008C574A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A47C3A" w14:textId="77777777" w:rsidR="008C574A" w:rsidRPr="005A38A6" w:rsidRDefault="008C574A" w:rsidP="008C574A">
      <w:pPr>
        <w:numPr>
          <w:ilvl w:val="0"/>
          <w:numId w:val="3"/>
        </w:num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Назва науково-технічної (експериментальної) розробки (далі – Розробка)</w:t>
      </w:r>
    </w:p>
    <w:p w14:paraId="4B3E67C7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4202BAA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137E196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7D6269C" w14:textId="77777777" w:rsidR="008C574A" w:rsidRPr="005A38A6" w:rsidRDefault="008C574A" w:rsidP="008C574A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</w:pPr>
      <w:r w:rsidRPr="005A38A6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  <w:t>(не більше 15 слів)</w:t>
      </w:r>
    </w:p>
    <w:p w14:paraId="1D9416D3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3C628F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2. ВІДПОВІДНІСТЬ ПРІОРИТЕТНИМ ДЕРЖАВНИМ ПОТРЕБАМ</w:t>
      </w:r>
    </w:p>
    <w:p w14:paraId="089DF3DA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 xml:space="preserve">2.1 Відповідність пріоритетним  напрямам розвитку науки і техніки </w:t>
      </w:r>
    </w:p>
    <w:p w14:paraId="2EA094E3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17CA620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eading=h.1fob9te" w:colFirst="0" w:colLast="0"/>
      <w:bookmarkEnd w:id="0"/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(зазначається тільки 1 пріоритетний напрям розвитку науки і техніки прикладного спрямування відповідно до статті 3 Закону України “Про пріоритетні напрями розвитку науки і техніки”, а саме: національна безпека і оборона; інформаційні та комунікаційні технології; енергетика та енергоефективність; раціональне природокористування; науки про життя, нові технології профілактики та лікування найпоширеніших захворювань; нові речовини і матеріали).</w:t>
      </w:r>
    </w:p>
    <w:p w14:paraId="05FDF56B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BCAA89" w14:textId="77777777" w:rsidR="008C574A" w:rsidRPr="005A38A6" w:rsidRDefault="008C574A" w:rsidP="008C574A">
      <w:pPr>
        <w:spacing w:line="240" w:lineRule="auto"/>
        <w:ind w:left="0" w:right="8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 xml:space="preserve">2.2. Відповідність пріоритетній тематиці, за якою буде здійснюватися державне замовлення на науково-технічні (експериментальні) розробки та науково-технічну продукцію </w:t>
      </w: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br/>
        <w:t>у 2026-2027 роках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E75177" w14:textId="57432E99" w:rsidR="008C574A" w:rsidRPr="005A38A6" w:rsidRDefault="008C574A" w:rsidP="008C574A">
      <w:pPr>
        <w:spacing w:line="240" w:lineRule="auto"/>
        <w:ind w:left="0" w:right="80" w:hanging="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(зазначається тільки 1 пріоритетна тематика, за якою буде здійснюватися державне замовлення на науково-технічні (експериментальні) розробки та науково-технічну продукцію 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br/>
        <w:t>у 2026</w:t>
      </w:r>
      <w:r w:rsidR="00C72773"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ро</w:t>
      </w:r>
      <w:r w:rsidR="00C72773" w:rsidRPr="005A38A6">
        <w:rPr>
          <w:rFonts w:ascii="Times New Roman" w:eastAsia="Times New Roman" w:hAnsi="Times New Roman" w:cs="Times New Roman"/>
          <w:i/>
          <w:sz w:val="24"/>
          <w:szCs w:val="24"/>
        </w:rPr>
        <w:t>ці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згідно з переліком, затвердженим наказом МОН від</w:t>
      </w:r>
      <w:r w:rsidR="009439FF" w:rsidRPr="005A38A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FB7997" w:rsidRPr="005A38A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21 </w:t>
      </w:r>
      <w:r w:rsidR="00C72773"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жовтня 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2025</w:t>
      </w:r>
      <w:r w:rsidR="009439FF" w:rsidRPr="005A38A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5D06DB" w:rsidRPr="005A38A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року 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№ </w:t>
      </w:r>
      <w:r w:rsidR="00FB7997" w:rsidRPr="005A38A6">
        <w:rPr>
          <w:rFonts w:ascii="Times New Roman" w:eastAsia="Times New Roman" w:hAnsi="Times New Roman" w:cs="Times New Roman"/>
          <w:i/>
          <w:sz w:val="24"/>
          <w:szCs w:val="24"/>
        </w:rPr>
        <w:t>1379</w:t>
      </w:r>
      <w:r w:rsidR="00FB7997" w:rsidRPr="005A38A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14:paraId="6F2D1A45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055B351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 xml:space="preserve">2.3. Підтвердження намірів доведення результатів виконання розробки до стадії практичного використання. </w:t>
      </w:r>
    </w:p>
    <w:p w14:paraId="62CCF3C7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112D3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[   ] Так.</w:t>
      </w:r>
    </w:p>
    <w:p w14:paraId="032C1A53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A8465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2.4.  Користувачі НТП</w:t>
      </w:r>
    </w:p>
    <w:p w14:paraId="1EB5F0E9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 xml:space="preserve">Навести перелік потенційних користувачів, зазначивши групи населення, підприємства, установи, організації.  </w:t>
      </w:r>
    </w:p>
    <w:p w14:paraId="44E7D96F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За наявності зазначається інформація про угоди/договори про принципи та умови подальшого впровадження результатів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D8D5969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2ABBBB5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2.5. Потенційні виробники НТП, зокрема, з метою масштабування</w:t>
      </w:r>
    </w:p>
    <w:p w14:paraId="114CC8D4" w14:textId="24050A6C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Навести перелік потенційних виробників, які можуть забезпечити масштабування  створеної НТП (у разі наявності), зазначивши конкретне підприємство, установу, організацію.</w:t>
      </w:r>
    </w:p>
    <w:p w14:paraId="49C117BA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Зазначається інформація про угоди/договори/протоколи про наміри, що містять інформацію про принципи та умови подальшого масштабування результатів, обов’язковою частиною яких мають бути наміри укласти ліцензійну угоду, які мають бути підтверджені після завершення створення НТП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FB81995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BA28E5" w14:textId="301EA616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3. Відповідність науковим напрямам, за якими проводиться наукова та науково-технічна експертиза (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відповідно </w:t>
      </w:r>
      <w:r w:rsidR="009F3422"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до 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Таблиці відповідності наукових напрямів, за якими проводиться наукова та науково-технічна діяльність, освітнім спеціальностям, яка є додатком до наказу Міністерства освіти </w:t>
      </w:r>
      <w:r w:rsidR="00FB7997" w:rsidRPr="005A38A6">
        <w:rPr>
          <w:rFonts w:ascii="Times New Roman" w:eastAsia="Times New Roman" w:hAnsi="Times New Roman" w:cs="Times New Roman"/>
          <w:i/>
          <w:sz w:val="24"/>
          <w:szCs w:val="24"/>
        </w:rPr>
        <w:t>і науки  України від 26.04.2024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№ 585 “Про заходи щодо формування переліку експертів Міністерства освіти і науки України для проведення наукової і науково-технічної експертизи об’єктів експертизи у сфері наукової та науково-технічної діяльності”)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BFA2C6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D447A5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 xml:space="preserve">4. Автори (виконавці) Розробки </w:t>
      </w:r>
      <w:r w:rsidRPr="005A38A6">
        <w:rPr>
          <w:rFonts w:ascii="Times New Roman" w:eastAsia="Times New Roman" w:hAnsi="Times New Roman" w:cs="Times New Roman"/>
          <w:b/>
          <w:i/>
        </w:rPr>
        <w:t>(до 10 осіб)</w:t>
      </w: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14:paraId="68CD43E1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3402"/>
        <w:gridCol w:w="4297"/>
      </w:tblGrid>
      <w:tr w:rsidR="00882656" w:rsidRPr="005A38A6" w14:paraId="7C0D436B" w14:textId="77777777" w:rsidTr="00111EB4">
        <w:trPr>
          <w:tblHeader/>
        </w:trPr>
        <w:tc>
          <w:tcPr>
            <w:tcW w:w="2212" w:type="dxa"/>
          </w:tcPr>
          <w:p w14:paraId="25B1FEC2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872128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в Розробці</w:t>
            </w:r>
          </w:p>
        </w:tc>
        <w:tc>
          <w:tcPr>
            <w:tcW w:w="3402" w:type="dxa"/>
          </w:tcPr>
          <w:p w14:paraId="330FDCB7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Прізвище, </w:t>
            </w:r>
          </w:p>
          <w:p w14:paraId="02932284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ім’я, </w:t>
            </w:r>
          </w:p>
          <w:p w14:paraId="619FC0BF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t>по батькові (за наявності)</w:t>
            </w:r>
          </w:p>
        </w:tc>
        <w:tc>
          <w:tcPr>
            <w:tcW w:w="4297" w:type="dxa"/>
          </w:tcPr>
          <w:p w14:paraId="48B25254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Місце основної роботи, посада, науковий ступінь (за наявності), вчене звання </w:t>
            </w: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(за наявності), службовий телефон, </w:t>
            </w: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мобільний номер,  e-mail</w:t>
            </w:r>
          </w:p>
        </w:tc>
      </w:tr>
      <w:tr w:rsidR="00882656" w:rsidRPr="005A38A6" w14:paraId="4AC7C5AE" w14:textId="77777777" w:rsidTr="00111EB4">
        <w:trPr>
          <w:trHeight w:val="670"/>
          <w:tblHeader/>
        </w:trPr>
        <w:tc>
          <w:tcPr>
            <w:tcW w:w="2212" w:type="dxa"/>
          </w:tcPr>
          <w:p w14:paraId="23E05716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Науковий керівник Розробки</w:t>
            </w:r>
          </w:p>
        </w:tc>
        <w:tc>
          <w:tcPr>
            <w:tcW w:w="3402" w:type="dxa"/>
          </w:tcPr>
          <w:p w14:paraId="70799A2A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7" w:type="dxa"/>
          </w:tcPr>
          <w:p w14:paraId="041C3FC9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616BFD21" w14:textId="77777777" w:rsidTr="00111EB4">
        <w:trPr>
          <w:trHeight w:val="1398"/>
          <w:tblHeader/>
        </w:trPr>
        <w:tc>
          <w:tcPr>
            <w:tcW w:w="2212" w:type="dxa"/>
          </w:tcPr>
          <w:p w14:paraId="6CF77EDF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Відповідальний виконавець Розробки</w:t>
            </w:r>
          </w:p>
          <w:p w14:paraId="6DCB28F8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(заступник наукового керівника Розробки)</w:t>
            </w:r>
          </w:p>
        </w:tc>
        <w:tc>
          <w:tcPr>
            <w:tcW w:w="3402" w:type="dxa"/>
          </w:tcPr>
          <w:p w14:paraId="25EFAAF4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7" w:type="dxa"/>
          </w:tcPr>
          <w:p w14:paraId="767E2C07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7D09E56F" w14:textId="77777777" w:rsidTr="00111EB4">
        <w:trPr>
          <w:tblHeader/>
        </w:trPr>
        <w:tc>
          <w:tcPr>
            <w:tcW w:w="2212" w:type="dxa"/>
          </w:tcPr>
          <w:p w14:paraId="06DACD1C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Виконавець</w:t>
            </w:r>
          </w:p>
        </w:tc>
        <w:tc>
          <w:tcPr>
            <w:tcW w:w="3402" w:type="dxa"/>
          </w:tcPr>
          <w:p w14:paraId="12FB50CA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7" w:type="dxa"/>
          </w:tcPr>
          <w:p w14:paraId="4E570FE7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C574A" w:rsidRPr="005A38A6" w14:paraId="33CE93A5" w14:textId="77777777" w:rsidTr="00111EB4">
        <w:tc>
          <w:tcPr>
            <w:tcW w:w="2212" w:type="dxa"/>
          </w:tcPr>
          <w:p w14:paraId="7FB3CF54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3025BB09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7" w:type="dxa"/>
          </w:tcPr>
          <w:p w14:paraId="328502F1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02EE58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</w:rPr>
      </w:pPr>
    </w:p>
    <w:p w14:paraId="667E71CB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</w:rPr>
      </w:pPr>
      <w:r w:rsidRPr="005A38A6">
        <w:rPr>
          <w:rFonts w:ascii="Times New Roman" w:eastAsia="Times New Roman" w:hAnsi="Times New Roman" w:cs="Times New Roman"/>
          <w:i/>
        </w:rPr>
        <w:t>*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5A38A6">
        <w:rPr>
          <w:rFonts w:ascii="Times New Roman" w:eastAsia="Times New Roman" w:hAnsi="Times New Roman" w:cs="Times New Roman"/>
          <w:b/>
          <w:i/>
        </w:rPr>
        <w:t xml:space="preserve">Примітка: </w:t>
      </w:r>
    </w:p>
    <w:p w14:paraId="1BE0720F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</w:rPr>
      </w:pPr>
      <w:r w:rsidRPr="005A38A6">
        <w:rPr>
          <w:rFonts w:ascii="Times New Roman" w:eastAsia="Times New Roman" w:hAnsi="Times New Roman" w:cs="Times New Roman"/>
          <w:i/>
        </w:rPr>
        <w:t xml:space="preserve">Колектив авторів (виконавців) Розробки </w:t>
      </w:r>
      <w:r w:rsidRPr="005A38A6">
        <w:rPr>
          <w:rFonts w:ascii="Times New Roman" w:eastAsia="Times New Roman" w:hAnsi="Times New Roman" w:cs="Times New Roman"/>
          <w:b/>
          <w:i/>
          <w:u w:val="single"/>
        </w:rPr>
        <w:t>не може перевищувати 10 наукових працівників</w:t>
      </w:r>
      <w:r w:rsidRPr="005A38A6">
        <w:rPr>
          <w:rFonts w:ascii="Times New Roman" w:eastAsia="Times New Roman" w:hAnsi="Times New Roman" w:cs="Times New Roman"/>
          <w:i/>
        </w:rPr>
        <w:t>.</w:t>
      </w:r>
    </w:p>
    <w:p w14:paraId="0C845FDA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</w:rPr>
      </w:pPr>
      <w:r w:rsidRPr="005A38A6">
        <w:rPr>
          <w:rFonts w:ascii="Times New Roman" w:eastAsia="Times New Roman" w:hAnsi="Times New Roman" w:cs="Times New Roman"/>
          <w:i/>
        </w:rPr>
        <w:t xml:space="preserve">До складу авторів (виконавців) можуть входити наукові працівники, які працюють за основним місцем роботи в інших підприємствах, установах, організаціях. Необхідність їх залучення до виконання Розробки підтверджується відповідним обґрунтуванням з описом, наприклад, досвіду попередньої співпраці з іншими членами колективу авторів – спільні проєкти, публікації тощо). </w:t>
      </w:r>
    </w:p>
    <w:p w14:paraId="4D5DDCBA" w14:textId="77777777" w:rsidR="008C574A" w:rsidRPr="005A38A6" w:rsidRDefault="00000000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sdt>
        <w:sdtPr>
          <w:tag w:val="goog_rdk_2"/>
          <w:id w:val="1831872805"/>
        </w:sdtPr>
        <w:sdtContent/>
      </w:sdt>
      <w:r w:rsidR="008C574A" w:rsidRPr="005A38A6">
        <w:rPr>
          <w:rFonts w:ascii="Times New Roman" w:eastAsia="Times New Roman" w:hAnsi="Times New Roman" w:cs="Times New Roman"/>
          <w:b/>
          <w:i/>
          <w:u w:val="single"/>
        </w:rPr>
        <w:t xml:space="preserve">Не менше половини колективу авторів (виконавців) Розробки, включно з науковим керівником, повинні бути працівниками Учасника Конкурсу. </w:t>
      </w:r>
    </w:p>
    <w:p w14:paraId="24E99DB2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</w:rPr>
      </w:pPr>
      <w:r w:rsidRPr="005A38A6">
        <w:rPr>
          <w:rFonts w:ascii="Times New Roman" w:eastAsia="Times New Roman" w:hAnsi="Times New Roman" w:cs="Times New Roman"/>
          <w:i/>
        </w:rPr>
        <w:t xml:space="preserve">Науковий керівник Розробки має бути працівником Учасника Конкурсу, за основним місцем роботи. Автор може бути науковим керівником тільки однієї Розробки, що подається на Конкурс (включно з перехідними науково-технічними роботами цього Конкурсу), а виконавці (автори) можуть брати участь не більше ніж як у двох Розробках, які беруть участь у Конкурсі в поточному році. </w:t>
      </w:r>
    </w:p>
    <w:p w14:paraId="31536C23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</w:rPr>
      </w:pPr>
      <w:r w:rsidRPr="005A38A6">
        <w:rPr>
          <w:rFonts w:ascii="Times New Roman" w:eastAsia="Times New Roman" w:hAnsi="Times New Roman" w:cs="Times New Roman"/>
          <w:i/>
        </w:rPr>
        <w:t>До складу колективу авторів (виконавців) Розробки в межах фонду оплати праці, крім наукових працівників (до 10 осіб), можуть входити  додатково інженерно-технічні працівники, техніки та інший допоміжний персонал.</w:t>
      </w:r>
    </w:p>
    <w:p w14:paraId="68685693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</w:rPr>
      </w:pPr>
      <w:r w:rsidRPr="005A38A6">
        <w:rPr>
          <w:rFonts w:ascii="Times New Roman" w:eastAsia="Times New Roman" w:hAnsi="Times New Roman" w:cs="Times New Roman"/>
          <w:i/>
        </w:rPr>
        <w:t xml:space="preserve"> У таблицю вносяться дані про наукового керівника, відповідального виконавця та не більше восьми виконавців (авторів), які будуть працювати з оплатою в межах Розробки. </w:t>
      </w:r>
    </w:p>
    <w:p w14:paraId="05CE39C5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5A38A6">
        <w:rPr>
          <w:rFonts w:ascii="Times New Roman" w:eastAsia="Times New Roman" w:hAnsi="Times New Roman" w:cs="Times New Roman"/>
          <w:b/>
          <w:i/>
        </w:rPr>
        <w:t>Кількість членів колективу авторів (виконавців) під час укладення договору</w:t>
      </w:r>
      <w:r w:rsidRPr="005A38A6">
        <w:rPr>
          <w:rFonts w:ascii="Times New Roman" w:eastAsia="Times New Roman" w:hAnsi="Times New Roman" w:cs="Times New Roman"/>
          <w:i/>
        </w:rPr>
        <w:t xml:space="preserve"> на виконання науково-технічної роботи з переможцем Конкурсу</w:t>
      </w:r>
      <w:r w:rsidRPr="005A38A6">
        <w:rPr>
          <w:rFonts w:ascii="Times New Roman" w:eastAsia="Times New Roman" w:hAnsi="Times New Roman" w:cs="Times New Roman"/>
          <w:b/>
          <w:i/>
          <w:u w:val="single"/>
        </w:rPr>
        <w:t xml:space="preserve"> не може перевищувати кількості членів колективу авторів (виконавців), зазначених у Заявці .</w:t>
      </w:r>
    </w:p>
    <w:p w14:paraId="538AF16A" w14:textId="076BBE8E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5A38A6">
        <w:rPr>
          <w:rFonts w:ascii="Times New Roman" w:eastAsia="Times New Roman" w:hAnsi="Times New Roman" w:cs="Times New Roman"/>
          <w:i/>
        </w:rPr>
        <w:t xml:space="preserve">Після укладення договору на виконання науково-технічної роботи з переможцем Конкурсу </w:t>
      </w:r>
      <w:r w:rsidRPr="005A38A6">
        <w:rPr>
          <w:rFonts w:ascii="Times New Roman" w:eastAsia="Times New Roman" w:hAnsi="Times New Roman" w:cs="Times New Roman"/>
          <w:b/>
          <w:i/>
          <w:u w:val="single"/>
        </w:rPr>
        <w:t>зміни до складу колективу авторів (виконавців) можуть вноситися виключно на підставі письмового звернення до Міністерства освіти і науки України</w:t>
      </w:r>
      <w:r w:rsidRPr="005A38A6">
        <w:rPr>
          <w:rFonts w:ascii="Times New Roman" w:eastAsia="Times New Roman" w:hAnsi="Times New Roman" w:cs="Times New Roman"/>
          <w:i/>
        </w:rPr>
        <w:t xml:space="preserve"> з детальним обґрунтуванням необхідності внесення таких</w:t>
      </w:r>
      <w:r w:rsidR="009F3422" w:rsidRPr="005A38A6">
        <w:rPr>
          <w:rFonts w:ascii="Times New Roman" w:eastAsia="Times New Roman" w:hAnsi="Times New Roman" w:cs="Times New Roman"/>
          <w:i/>
        </w:rPr>
        <w:t xml:space="preserve"> змін</w:t>
      </w:r>
      <w:r w:rsidRPr="005A38A6">
        <w:rPr>
          <w:rFonts w:ascii="Times New Roman" w:eastAsia="Times New Roman" w:hAnsi="Times New Roman" w:cs="Times New Roman"/>
          <w:i/>
        </w:rPr>
        <w:t xml:space="preserve">, </w:t>
      </w:r>
      <w:r w:rsidRPr="005A38A6">
        <w:rPr>
          <w:rFonts w:ascii="Times New Roman" w:eastAsia="Times New Roman" w:hAnsi="Times New Roman" w:cs="Times New Roman"/>
          <w:b/>
          <w:i/>
          <w:u w:val="single"/>
        </w:rPr>
        <w:t xml:space="preserve">але не більше 20% його складу. </w:t>
      </w:r>
    </w:p>
    <w:p w14:paraId="145C47DA" w14:textId="3B05E1A0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</w:rPr>
      </w:pPr>
      <w:r w:rsidRPr="005A38A6">
        <w:rPr>
          <w:rFonts w:ascii="Times New Roman" w:eastAsia="Times New Roman" w:hAnsi="Times New Roman" w:cs="Times New Roman"/>
          <w:i/>
        </w:rPr>
        <w:t xml:space="preserve">Колектив авторів (виконавців) несе персональну відповідальність за якість та своєчасність виконання поставлених у </w:t>
      </w:r>
      <w:r w:rsidR="009F3422" w:rsidRPr="005A38A6">
        <w:rPr>
          <w:rFonts w:ascii="Times New Roman" w:eastAsia="Times New Roman" w:hAnsi="Times New Roman" w:cs="Times New Roman"/>
          <w:i/>
        </w:rPr>
        <w:t>Розробці</w:t>
      </w:r>
      <w:r w:rsidRPr="005A38A6">
        <w:rPr>
          <w:rFonts w:ascii="Times New Roman" w:eastAsia="Times New Roman" w:hAnsi="Times New Roman" w:cs="Times New Roman"/>
          <w:i/>
        </w:rPr>
        <w:t xml:space="preserve"> завдань. </w:t>
      </w:r>
    </w:p>
    <w:p w14:paraId="333D2F97" w14:textId="65D89E12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i/>
        </w:rPr>
      </w:pPr>
    </w:p>
    <w:p w14:paraId="33ACEE49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 xml:space="preserve">5. Повне найменування учасника Конкурсу </w:t>
      </w:r>
    </w:p>
    <w:p w14:paraId="0C3E2BFB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829FE45" w14:textId="77777777" w:rsidR="008C574A" w:rsidRPr="005A38A6" w:rsidRDefault="008C574A" w:rsidP="008C574A">
      <w:pPr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5A38A6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(відповідно до Статуту або іншого установчого документа)</w:t>
      </w:r>
    </w:p>
    <w:p w14:paraId="106B263F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 xml:space="preserve">5.1. Найменування органу, до сфери управління якого належить (у віданні якого перебуває) </w:t>
      </w:r>
    </w:p>
    <w:p w14:paraId="79A70970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(за наявності)</w:t>
      </w:r>
    </w:p>
    <w:p w14:paraId="182203A1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BF1E75D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A45DD9C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 xml:space="preserve">5.2. Місцезнаходження та банківські реквізити </w:t>
      </w:r>
    </w:p>
    <w:p w14:paraId="25538935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90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7230"/>
      </w:tblGrid>
      <w:tr w:rsidR="00882656" w:rsidRPr="005A38A6" w14:paraId="532DF491" w14:textId="77777777" w:rsidTr="00111EB4">
        <w:tc>
          <w:tcPr>
            <w:tcW w:w="2760" w:type="dxa"/>
          </w:tcPr>
          <w:p w14:paraId="10C38070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Код за ЄДРПОУ</w:t>
            </w:r>
          </w:p>
        </w:tc>
        <w:tc>
          <w:tcPr>
            <w:tcW w:w="7230" w:type="dxa"/>
          </w:tcPr>
          <w:p w14:paraId="3722F56C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6D0D5BC6" w14:textId="77777777" w:rsidTr="00111EB4">
        <w:tc>
          <w:tcPr>
            <w:tcW w:w="2760" w:type="dxa"/>
          </w:tcPr>
          <w:p w14:paraId="250C51B1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7230" w:type="dxa"/>
          </w:tcPr>
          <w:p w14:paraId="64A6C62B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171D07C6" w14:textId="77777777" w:rsidTr="00111EB4">
        <w:trPr>
          <w:trHeight w:val="131"/>
        </w:trPr>
        <w:tc>
          <w:tcPr>
            <w:tcW w:w="2760" w:type="dxa"/>
          </w:tcPr>
          <w:p w14:paraId="3486BA4F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Банківські реквізити</w:t>
            </w:r>
          </w:p>
        </w:tc>
        <w:tc>
          <w:tcPr>
            <w:tcW w:w="7230" w:type="dxa"/>
          </w:tcPr>
          <w:p w14:paraId="2FA63A73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263B4B83" w14:textId="77777777" w:rsidTr="00111EB4">
        <w:tc>
          <w:tcPr>
            <w:tcW w:w="2760" w:type="dxa"/>
          </w:tcPr>
          <w:p w14:paraId="4FC00108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Найменування банку</w:t>
            </w:r>
          </w:p>
        </w:tc>
        <w:tc>
          <w:tcPr>
            <w:tcW w:w="7230" w:type="dxa"/>
          </w:tcPr>
          <w:p w14:paraId="13F48266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457F4508" w14:textId="77777777" w:rsidTr="00111EB4">
        <w:tc>
          <w:tcPr>
            <w:tcW w:w="2760" w:type="dxa"/>
          </w:tcPr>
          <w:p w14:paraId="4BCCACDE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 xml:space="preserve">Номер рахунку за відповідним напрямом діяльності </w:t>
            </w:r>
          </w:p>
        </w:tc>
        <w:tc>
          <w:tcPr>
            <w:tcW w:w="7230" w:type="dxa"/>
          </w:tcPr>
          <w:p w14:paraId="0610970B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C574A" w:rsidRPr="005A38A6" w14:paraId="574406C6" w14:textId="77777777" w:rsidTr="00111EB4">
        <w:tc>
          <w:tcPr>
            <w:tcW w:w="2760" w:type="dxa"/>
          </w:tcPr>
          <w:p w14:paraId="3E881B0C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МФО</w:t>
            </w:r>
          </w:p>
        </w:tc>
        <w:tc>
          <w:tcPr>
            <w:tcW w:w="7230" w:type="dxa"/>
          </w:tcPr>
          <w:p w14:paraId="06827EB8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C4C107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22E275A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 xml:space="preserve">5.3. Керівник учасника Конкурсу  </w:t>
      </w:r>
    </w:p>
    <w:p w14:paraId="3FA85A33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(за наявності</w:t>
      </w:r>
      <w:r w:rsidRPr="005A38A6">
        <w:rPr>
          <w:rFonts w:ascii="Times New Roman" w:eastAsia="Times New Roman" w:hAnsi="Times New Roman" w:cs="Times New Roman"/>
          <w:sz w:val="21"/>
          <w:szCs w:val="21"/>
        </w:rPr>
        <w:t>)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8991A57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Посада    __________________________________________________________________________</w:t>
      </w:r>
    </w:p>
    <w:p w14:paraId="649454D8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Тел.:__________________ E-mail:____________________</w:t>
      </w:r>
    </w:p>
    <w:p w14:paraId="2987C91F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93B7E41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6. ДЕТАЛЬНИЙ ЗМІСТ РОЗРОБКИ</w:t>
      </w:r>
    </w:p>
    <w:p w14:paraId="5A677534" w14:textId="3A7D3BC9" w:rsidR="008C574A" w:rsidRPr="005A38A6" w:rsidRDefault="008C574A" w:rsidP="008C574A">
      <w:pPr>
        <w:tabs>
          <w:tab w:val="left" w:pos="148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6.1. Очікуваний строк виконання Розробки (</w:t>
      </w:r>
      <w:r w:rsidR="00C72773" w:rsidRPr="005A38A6">
        <w:rPr>
          <w:rFonts w:ascii="Times New Roman" w:eastAsia="Times New Roman" w:hAnsi="Times New Roman" w:cs="Times New Roman"/>
          <w:sz w:val="24"/>
          <w:szCs w:val="24"/>
        </w:rPr>
        <w:t>до 12 місяців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>)</w:t>
      </w:r>
      <w:r w:rsidR="009F3422" w:rsidRPr="005A38A6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E0833D1" w14:textId="77777777" w:rsidR="008C574A" w:rsidRPr="005A38A6" w:rsidRDefault="008C574A" w:rsidP="008C574A">
      <w:pPr>
        <w:tabs>
          <w:tab w:val="left" w:pos="148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 xml:space="preserve">6.2. Обґрунтування значущості Розробки для вирішення проблем з метою  забезпечення пріоритетних державних потреб. </w:t>
      </w:r>
    </w:p>
    <w:p w14:paraId="2BB8B04B" w14:textId="77777777" w:rsidR="008C574A" w:rsidRPr="005A38A6" w:rsidRDefault="008C574A" w:rsidP="008C574A">
      <w:pPr>
        <w:tabs>
          <w:tab w:val="left" w:pos="148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6.3. Аналіз результатів, отриманих українськими та іноземними вченими/розробниками за тематикою Розробки, що містять аналоги та прототипи, які покладено в основу Розробки за останні 5 років, з наведенням посилань на конкретні публікації (до 10 публікацій).</w:t>
      </w:r>
    </w:p>
    <w:p w14:paraId="674FFF24" w14:textId="19735EE6" w:rsidR="008C574A" w:rsidRPr="005A38A6" w:rsidRDefault="008C574A" w:rsidP="008C574A">
      <w:pPr>
        <w:tabs>
          <w:tab w:val="left" w:pos="148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 xml:space="preserve">6.4. Інформація про методи, засоби, методики та </w:t>
      </w:r>
      <w:r w:rsidR="000C0E35" w:rsidRPr="005A38A6">
        <w:rPr>
          <w:rFonts w:ascii="Times New Roman" w:eastAsia="Times New Roman" w:hAnsi="Times New Roman" w:cs="Times New Roman"/>
          <w:sz w:val="24"/>
          <w:szCs w:val="24"/>
        </w:rPr>
        <w:t>методології досліджень (існуючі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>, нов</w:t>
      </w:r>
      <w:r w:rsidR="000C0E35" w:rsidRPr="005A38A6">
        <w:rPr>
          <w:rFonts w:ascii="Times New Roman" w:eastAsia="Times New Roman" w:hAnsi="Times New Roman" w:cs="Times New Roman"/>
          <w:sz w:val="24"/>
          <w:szCs w:val="24"/>
        </w:rPr>
        <w:t>і або вдосконалені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>), які будуть використовуватись авторами під час виконання Розробки.</w:t>
      </w:r>
    </w:p>
    <w:p w14:paraId="02FBF660" w14:textId="42F7D930" w:rsidR="008C574A" w:rsidRPr="005A38A6" w:rsidRDefault="008C574A" w:rsidP="008C574A">
      <w:pPr>
        <w:tabs>
          <w:tab w:val="left" w:pos="148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6.5. Детальний зміст Розробки: опис завдань, що вирішуються під час виконання етапів  Розробки.</w:t>
      </w:r>
    </w:p>
    <w:p w14:paraId="3953DBEE" w14:textId="6B4FBFC8" w:rsidR="008C57EE" w:rsidRPr="005A38A6" w:rsidRDefault="008C57EE" w:rsidP="008C574A">
      <w:pPr>
        <w:tabs>
          <w:tab w:val="left" w:pos="148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6B357" w14:textId="77777777" w:rsidR="008C57EE" w:rsidRPr="005A38A6" w:rsidRDefault="008C57EE" w:rsidP="008C57EE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</w:rPr>
      </w:pPr>
      <w:r w:rsidRPr="005A38A6">
        <w:rPr>
          <w:rFonts w:ascii="Times New Roman" w:eastAsia="Times New Roman" w:hAnsi="Times New Roman" w:cs="Times New Roman"/>
          <w:i/>
        </w:rPr>
        <w:t>*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5A38A6">
        <w:rPr>
          <w:rFonts w:ascii="Times New Roman" w:eastAsia="Times New Roman" w:hAnsi="Times New Roman" w:cs="Times New Roman"/>
          <w:b/>
          <w:i/>
        </w:rPr>
        <w:t xml:space="preserve">Примітка: </w:t>
      </w:r>
    </w:p>
    <w:p w14:paraId="6BDADDDB" w14:textId="68BBC20A" w:rsidR="008C57EE" w:rsidRPr="005A38A6" w:rsidRDefault="008C57EE" w:rsidP="008C57EE">
      <w:pPr>
        <w:widowControl w:val="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</w:rPr>
      </w:pPr>
      <w:r w:rsidRPr="005A38A6">
        <w:rPr>
          <w:rFonts w:ascii="Times New Roman" w:eastAsia="Times New Roman" w:hAnsi="Times New Roman" w:cs="Times New Roman"/>
          <w:i/>
        </w:rPr>
        <w:t xml:space="preserve">Строк виконання Розробок – до </w:t>
      </w:r>
      <w:r w:rsidR="00C72773" w:rsidRPr="005A38A6">
        <w:rPr>
          <w:rFonts w:ascii="Times New Roman" w:eastAsia="Times New Roman" w:hAnsi="Times New Roman" w:cs="Times New Roman"/>
          <w:i/>
        </w:rPr>
        <w:t>12 місяців</w:t>
      </w:r>
      <w:r w:rsidRPr="005A38A6">
        <w:rPr>
          <w:rFonts w:ascii="Times New Roman" w:eastAsia="Times New Roman" w:hAnsi="Times New Roman" w:cs="Times New Roman"/>
          <w:i/>
        </w:rPr>
        <w:t xml:space="preserve">. Строки виконання Розробок визначено міністерствами, іншими центральними органами виконавчої влади </w:t>
      </w:r>
      <w:r w:rsidR="00C72773" w:rsidRPr="005A38A6">
        <w:rPr>
          <w:rFonts w:ascii="Times New Roman" w:eastAsia="Times New Roman" w:hAnsi="Times New Roman" w:cs="Times New Roman"/>
          <w:i/>
        </w:rPr>
        <w:t>у Вихідних технічних завданнях.</w:t>
      </w:r>
    </w:p>
    <w:p w14:paraId="172782BD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1CF598A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7. ОСНОВНІ ЗАВДАННЯ, ЯКІ БУДУТЬ ВИРІШЕНІ ПІД ЧАС ВИКОНАННЯ РОЗРОБКИ ДЛЯ ДОСЯГНЕННЯ МЕТИ, ТА ЇХ АКТУАЛЬНІСТЬ</w:t>
      </w:r>
    </w:p>
    <w:p w14:paraId="6AAADB8C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7.1. Мета виконання Розробки.</w:t>
      </w:r>
    </w:p>
    <w:p w14:paraId="37B57096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7.2. Обґрунтування актуальності та/або доцільності виконання Розробки, виходячи із стану досліджень проблематики за напрямом Розробки;</w:t>
      </w:r>
    </w:p>
    <w:p w14:paraId="46AD0574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7.3. Перелік завдань Розробки.</w:t>
      </w:r>
    </w:p>
    <w:p w14:paraId="76B7209C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A6AE8F8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8. ОПИС (ПЕРЕЛІК) КІНЦЕВОЇ НАУКОВО-ТЕХНІЧНОЇ ПРОДУКЦІЇ (ДАЛІ - НТП), ЩО БУДЕ СТВОРЕНА (ВИГОТОВЛЕНА, РОЗРОБЛЕНА) В РЕЗУЛЬТАТІ ВИКОНАННЯ РОЗРОБКИ ТА ЇХ НОВИЗНА*</w:t>
      </w:r>
    </w:p>
    <w:p w14:paraId="22786C4E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8.1. Опис кінцевої НТП (нові або істотно вдосконалені види техніки, технології, технологічні процеси, речовини та матеріали, сорти рослин, породи тварин, продукти, процеси, методи, теорії,  пристрої, системи  тощо), яка буде створена в результаті виконання Розробки, та вимог до неї</w:t>
      </w:r>
    </w:p>
    <w:p w14:paraId="00DFA9A2" w14:textId="5011E19D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8.2. Основні очікувані якісні та кількісні (т</w:t>
      </w:r>
      <w:r w:rsidR="00285BAD" w:rsidRPr="005A38A6">
        <w:rPr>
          <w:rFonts w:ascii="Times New Roman" w:eastAsia="Times New Roman" w:hAnsi="Times New Roman" w:cs="Times New Roman"/>
          <w:sz w:val="24"/>
          <w:szCs w:val="24"/>
        </w:rPr>
        <w:t xml:space="preserve">ехнічні) характеристики та/або 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>параметри очікуваної НТП, які визначають показники якості, експлуатаційні та її споживчі характеристики; перелічити основні складові частини НТП із наведенням малюнків або схем, або навести основні вимоги до її складу та призначення з урахуванням положень національних стандартів,  що застосовуються до такого виду НТП тощо.</w:t>
      </w:r>
    </w:p>
    <w:p w14:paraId="1F7B4F4C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8.3. Детальний опис виконання етапів Розробки.</w:t>
      </w:r>
    </w:p>
    <w:p w14:paraId="589DC6DD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 xml:space="preserve">8.4. Обґрунтування новизни створеної науково-технічної продукції на основі її змістовного порівняння з існуючими аналогами у світовій науці та/або суспільній практиці,  очікуваних переваг НТП, яку буде створено, над існуючими аналогами, опис об'єктів права інтелектуальної власності, що буде створено за результатами виконання Розробки. </w:t>
      </w:r>
    </w:p>
    <w:p w14:paraId="37E2F0BA" w14:textId="6A500F31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39E90A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* </w:t>
      </w: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Примітка: 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результати виконання Розробки оформляються відповідно до чинних нормативних документів, наприклад: Єдина система програмної документації, Єдина система конструкторської документації, ДСТУ 3973-2000 «Система розроблення та поставлення продукції на виробництво. Правила виконання науково-дослідних робіт. Загальні положення», ДСТУ 3974-2000 «Система розроблення та поставлення продукції на виробництво. Правила виконання дослідно-конструкторських робіт. Загальні положення» , тощо.</w:t>
      </w:r>
    </w:p>
    <w:p w14:paraId="00ADD378" w14:textId="559BF180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643DD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9. ВЛАСНА ОЦІНКА НТП, ЩО БУДЕ СТВОРЕНА В РЕЗУЛЬТАТІ ВИКОНАННЯ РОЗРОБКИ</w:t>
      </w:r>
    </w:p>
    <w:p w14:paraId="4AB641A3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[   ]     на рівні кращих світових аналогів;</w:t>
      </w:r>
    </w:p>
    <w:p w14:paraId="4D00F314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[   ]     немає аналогів в Україні;</w:t>
      </w:r>
    </w:p>
    <w:p w14:paraId="387A14CB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[   ]     краща за існуючі в Україні аналоги за основними показниками;</w:t>
      </w:r>
    </w:p>
    <w:p w14:paraId="3E7C7102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[   ]     перевищує існуючі в Україні аналогічні розробки за окремими показниками.</w:t>
      </w:r>
    </w:p>
    <w:p w14:paraId="2DF3D81D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2A583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10. ДОРОБОК ТА ДОСВІД АВТОРІВ ЗА ТЕМАТИКОЮ РОЗРОБКИ</w:t>
      </w:r>
    </w:p>
    <w:p w14:paraId="0EF45907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10.1. Результати власних попередніх досліджень, які покладено в основу Розробки, інформація щодо їх впровадження.</w:t>
      </w:r>
    </w:p>
    <w:p w14:paraId="4F080B21" w14:textId="2CC4E453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(зазначається інформація про основні результати попередніх досліджень, покладених в основу Розробки, та їх впровадження. Зокрема, необхідно вказати інформацію</w:t>
      </w:r>
      <w:r w:rsidR="000C0E35"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основні отримані результати з урахуванням рівнів технологічної готовності (TRL)*, отриманої науково-технічної продукції. При цьому TRL, який було отримано за результатами попередніх досліджень, повинен бути  не більше ніж на 2 позиції менший ніж той, що планується досягти під час виконання  Розробки.</w:t>
      </w:r>
    </w:p>
    <w:p w14:paraId="1877FC47" w14:textId="77777777" w:rsidR="000C0E35" w:rsidRPr="005A38A6" w:rsidRDefault="000C0E35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9FC390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*Рівні технологічної готовності:</w:t>
      </w:r>
    </w:p>
    <w:p w14:paraId="461E253B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TRL1 – сформульовано базові принципи технології (розробки);</w:t>
      </w:r>
    </w:p>
    <w:p w14:paraId="0D8731F0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TRL2 – сформульовано концепцію технології (розробки);</w:t>
      </w:r>
    </w:p>
    <w:p w14:paraId="16938514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TRL3 – проведено першу оцінку ефективності застосування ідеї і технології, концепцію технології (розробки) доведено експериментально;</w:t>
      </w:r>
    </w:p>
    <w:p w14:paraId="34650F48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TRL4 – технологію (розробку) перевірено в лабораторних умовах;</w:t>
      </w:r>
    </w:p>
    <w:p w14:paraId="24080DC8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TRL5 – технологію (розробку) перевірено у відповідному (промисловому) середовищі;</w:t>
      </w:r>
    </w:p>
    <w:p w14:paraId="64057637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TRL6 – здійснено випуск дослідного зразка, технологію (розробку) успішно продемонстровано у відповідному (промисловому ) середовищі;</w:t>
      </w:r>
    </w:p>
    <w:p w14:paraId="4094FD8A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TRL7 – здійснено випуск прототипу, технологію (розробку) успішно продемонстровано у робочому середовищі;</w:t>
      </w:r>
    </w:p>
    <w:p w14:paraId="2ECF5DA4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TRL8 (для програмних продуктів) – виробництво з використанням технології (розробки) повністю перевірене, затверджене і готове до запуску;</w:t>
      </w:r>
    </w:p>
    <w:p w14:paraId="6448337E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TRL9 – запуск серійного виробництва з використанням технології (розробки).</w:t>
      </w:r>
    </w:p>
    <w:p w14:paraId="40EC5D96" w14:textId="6A61D9D4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EE7E7F" w14:textId="77777777" w:rsidR="00285BAD" w:rsidRPr="005A38A6" w:rsidRDefault="00285BAD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3"/>
        <w:gridCol w:w="1639"/>
        <w:gridCol w:w="1639"/>
        <w:gridCol w:w="1337"/>
        <w:gridCol w:w="2040"/>
        <w:gridCol w:w="1707"/>
      </w:tblGrid>
      <w:tr w:rsidR="00882656" w:rsidRPr="005A38A6" w14:paraId="09102841" w14:textId="77777777" w:rsidTr="00111EB4">
        <w:trPr>
          <w:trHeight w:val="445"/>
        </w:trPr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F2426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роботи</w:t>
            </w:r>
          </w:p>
        </w:tc>
        <w:tc>
          <w:tcPr>
            <w:tcW w:w="16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AABC9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t>Період виконання (роки)</w:t>
            </w:r>
          </w:p>
        </w:tc>
        <w:tc>
          <w:tcPr>
            <w:tcW w:w="16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CF9AA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Опис основних досягнутих результатів відповідно до TRL         </w:t>
            </w:r>
          </w:p>
        </w:tc>
        <w:tc>
          <w:tcPr>
            <w:tcW w:w="1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2B8B6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t>Досягнутий рівень TRL</w:t>
            </w:r>
          </w:p>
        </w:tc>
        <w:tc>
          <w:tcPr>
            <w:tcW w:w="20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502AB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Джерело фінансування, найменування організації-інвестора (замовника) </w:t>
            </w: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(за наявності)</w:t>
            </w:r>
          </w:p>
        </w:tc>
        <w:tc>
          <w:tcPr>
            <w:tcW w:w="170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4512F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t>Обсяг фінансування,</w:t>
            </w:r>
          </w:p>
          <w:p w14:paraId="176B43AE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тис. грн (за наявності)</w:t>
            </w:r>
          </w:p>
        </w:tc>
      </w:tr>
      <w:tr w:rsidR="008C574A" w:rsidRPr="005A38A6" w14:paraId="710E2B00" w14:textId="77777777" w:rsidTr="00111EB4">
        <w:trPr>
          <w:trHeight w:val="240"/>
        </w:trPr>
        <w:tc>
          <w:tcPr>
            <w:tcW w:w="1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50860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5A38A6">
              <w:rPr>
                <w:b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F1EA5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77CA1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5A38A6">
              <w:rPr>
                <w:b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4FA6A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5A38A6">
              <w:rPr>
                <w:b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78AC0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5A38A6">
              <w:rPr>
                <w:b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2C437" w14:textId="77777777" w:rsidR="008C574A" w:rsidRPr="005A38A6" w:rsidRDefault="008C574A" w:rsidP="00111EB4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5A38A6">
              <w:rPr>
                <w:b/>
              </w:rPr>
              <w:t xml:space="preserve"> </w:t>
            </w:r>
          </w:p>
        </w:tc>
      </w:tr>
    </w:tbl>
    <w:p w14:paraId="4794819B" w14:textId="153457DD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CF2A6" w14:textId="00D90232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10.2. Науковий доробок колективу авторів (виконавців) за тематикою Розробки (у разі наявності).</w:t>
      </w:r>
    </w:p>
    <w:p w14:paraId="68358DE3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(зазначається інформація про наукові гранти, проєкти (не більше 10), за якими працювали представники авторського колективу, що фінансувалися за рахунок бізнесу, державного бюджету та/або закордонними організаціями (назви грантів/проєктів із зазначенням номеру і дати договору (угоди, проєкту), відповідним посиланням на веб-сайт чи інший ресурс, де є додаткові дані про проєкт, або його результати (за наявності)); перелік  основних публікацій  (не більше 10) у виданнях, що входять до наукометричних баз даних Scopus та/або Web of Science Core Collection (WoS) та/або фахових наукових видань України відповідно до Порядку формування Переліку наукових фахових видань України, затвердженого наказом Міністерства освіти і науки України від 15 січня 2018 р. № 32, за попередні 5 років (включно з роком подання заявки). </w:t>
      </w:r>
    </w:p>
    <w:p w14:paraId="69913785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0BE567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10.3. Чинні охоронні документи на об’єкти права інтелектуальної власності (не більше 10, у разі наявності).</w:t>
      </w:r>
    </w:p>
    <w:p w14:paraId="7A6C4C19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(зазначається інформація про охоронні документи на об’єкти права інтелектуальної власності за тематикою Розробки)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5FE229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128F20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ПРАКТИЧНОЇ ЦІННОСТІ ЗАПЛАНОВАНИХ РЕЗУЛЬТАТІВ ДЛЯ ОБОРОНИ, БЕЗПЕКИ, ЕКОНОМІКИ ТА/АБО СУСПІЛЬСТВА </w:t>
      </w:r>
    </w:p>
    <w:p w14:paraId="6A098A27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11.1. Вагомість НТП, що буде створена, для України; орієнтовний річний обсяг виробництва нової продукції, загальна потреба в ній, строки окупності витрат на розробку та виробництво.</w:t>
      </w:r>
    </w:p>
    <w:p w14:paraId="0B05D79B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11.2 Очікуваний ефект у сфері оборони і безпеки (за наявності).</w:t>
      </w:r>
    </w:p>
    <w:p w14:paraId="7A2D1C30" w14:textId="77777777" w:rsidR="008C574A" w:rsidRPr="005A38A6" w:rsidRDefault="00000000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4"/>
          <w:id w:val="182718281"/>
        </w:sdtPr>
        <w:sdtContent>
          <w:r w:rsidR="008C574A" w:rsidRPr="005A38A6">
            <w:rPr>
              <w:rFonts w:ascii="Gungsuh" w:eastAsia="Gungsuh" w:hAnsi="Gungsuh" w:cs="Gungsuh"/>
              <w:sz w:val="24"/>
              <w:szCs w:val="24"/>
            </w:rPr>
            <w:t>11.3. Очікуваний економічний ефект від впровадження результатів Розробки (тис. гривень на одиницю продукції); зниження енергоємності (кВт∙год на одиницю продукції), матеріалоємності (кг на одиницю продукції) (за наявності).</w:t>
          </w:r>
        </w:sdtContent>
      </w:sdt>
    </w:p>
    <w:p w14:paraId="2F9F5733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11.4. Бюджетна ефективність реалізації Розробки - збільшення надходжень до державного бюджету порівняно з обсягом наданого фінансування, тис. гривень.</w:t>
      </w:r>
    </w:p>
    <w:p w14:paraId="0EE0F973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11.5. Соціальна спрямованість Розробки - кількість збережених та новостворених робочих місць; поліпшення умов праці; якість послуг, що надаватимуться.</w:t>
      </w:r>
    </w:p>
    <w:p w14:paraId="67CE73E9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 xml:space="preserve">11.6. Оцінка ризиків при виконанні Розробки (фінансових, організаційних, виробничих, наукових, екологічних). </w:t>
      </w:r>
    </w:p>
    <w:p w14:paraId="7641A841" w14:textId="77777777" w:rsidR="008C574A" w:rsidRPr="005A38A6" w:rsidRDefault="008C574A" w:rsidP="008C574A">
      <w:pPr>
        <w:spacing w:line="240" w:lineRule="auto"/>
        <w:ind w:left="0" w:right="8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 xml:space="preserve">11.7. Орієнтовна вартість відомого аналога (за наявності) (тис. грн). </w:t>
      </w:r>
    </w:p>
    <w:p w14:paraId="4FE0B40F" w14:textId="1EF22D54" w:rsidR="008C574A" w:rsidRPr="005A38A6" w:rsidRDefault="008C574A" w:rsidP="008C574A">
      <w:pPr>
        <w:spacing w:line="240" w:lineRule="auto"/>
        <w:ind w:left="0" w:right="8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(Зазначається орієнтовна вартість з посиланням на її джерело (сайт виробника</w:t>
      </w:r>
      <w:r w:rsidR="008C57EE" w:rsidRPr="005A38A6">
        <w:rPr>
          <w:rFonts w:ascii="Times New Roman" w:eastAsia="Times New Roman" w:hAnsi="Times New Roman" w:cs="Times New Roman"/>
          <w:i/>
          <w:sz w:val="24"/>
          <w:szCs w:val="24"/>
        </w:rPr>
        <w:t>,  комерційна пропозиція або інші підтверджуючі документи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тощо).</w:t>
      </w:r>
    </w:p>
    <w:p w14:paraId="7A687365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 xml:space="preserve">11.8. Обґрунтування доцільності фінансування Розробки за рахунок коштів державного бюджету, в тому числі з урахуванням аналізу інформації наведеної у підпунктах 12.1 - 12.7. </w:t>
      </w:r>
    </w:p>
    <w:p w14:paraId="1B9A75BB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45F48F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12. НАЯВНІСТЬ ОБЛАДНАННЯ, СПЕЦУСТАТКУВАННЯ ТА МАТЕРІАЛЬНО-ТЕХНІЧНОЇ БАЗИ ДЛЯ ВИКОНАННЯ РОЗРОБКИ</w:t>
      </w:r>
    </w:p>
    <w:p w14:paraId="64C3E305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12.1. Інформація про наявність матеріально-технічної бази, яка буде використана для виконання Розробки (оснащених лабораторних та/або виробничих приміщень).</w:t>
      </w:r>
    </w:p>
    <w:p w14:paraId="49E9252F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12.2. Навести перелік обладнання та спецустаткування, яке є наявним у Виконавця, і буде використовуватися для виконання Розробки, зазначивши назву.</w:t>
      </w:r>
    </w:p>
    <w:p w14:paraId="10446B45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D3FED3" w14:textId="37D8D30F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3A670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13. ФІНАНСОВЕ ОБГРУНТУВАННЯ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ВИТРАТ ДЛЯ ВИКОНАННЯ РОЗРОБКИ (ТИС. ГРН) (цифрами та словами)</w:t>
      </w:r>
    </w:p>
    <w:p w14:paraId="7E7502F5" w14:textId="63CA0AFD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147ACE" w14:textId="02EF3B02" w:rsidR="00C72773" w:rsidRPr="005A38A6" w:rsidRDefault="00C72773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768E9" w14:textId="3118EB1C" w:rsidR="00C72773" w:rsidRPr="005A38A6" w:rsidRDefault="00C72773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0567C" w14:textId="77777777" w:rsidR="00616B4B" w:rsidRPr="005A38A6" w:rsidRDefault="00616B4B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FF5CF9" w14:textId="156AA7DF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Обсяг ф</w:t>
      </w:r>
      <w:r w:rsidR="00616B4B" w:rsidRPr="005A38A6">
        <w:rPr>
          <w:rFonts w:ascii="Times New Roman" w:eastAsia="Times New Roman" w:hAnsi="Times New Roman" w:cs="Times New Roman"/>
          <w:b/>
          <w:sz w:val="24"/>
          <w:szCs w:val="24"/>
        </w:rPr>
        <w:t>інансування: ________ тис. грн</w:t>
      </w:r>
    </w:p>
    <w:p w14:paraId="049EB2EC" w14:textId="77777777" w:rsidR="008C574A" w:rsidRPr="005A38A6" w:rsidRDefault="008C574A" w:rsidP="008C574A">
      <w:pP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(тис. грн.)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16"/>
        <w:gridCol w:w="1436"/>
        <w:gridCol w:w="1338"/>
        <w:gridCol w:w="1752"/>
      </w:tblGrid>
      <w:tr w:rsidR="00882656" w:rsidRPr="005A38A6" w14:paraId="27C6F5B4" w14:textId="77777777" w:rsidTr="00C72773">
        <w:trPr>
          <w:cantSplit/>
          <w:trHeight w:val="330"/>
        </w:trPr>
        <w:tc>
          <w:tcPr>
            <w:tcW w:w="2724" w:type="pct"/>
            <w:vMerge w:val="restart"/>
            <w:vAlign w:val="center"/>
          </w:tcPr>
          <w:p w14:paraId="5742C1E1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  <w:b/>
              </w:rPr>
              <w:t>Статті витрат</w:t>
            </w:r>
            <w:r w:rsidRPr="005A38A6">
              <w:rPr>
                <w:rFonts w:ascii="Times New Roman" w:eastAsia="Times New Roman" w:hAnsi="Times New Roman" w:cs="Times New Roman"/>
                <w:i/>
              </w:rPr>
              <w:t>*</w:t>
            </w:r>
            <w:r w:rsidRPr="005A38A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94" w:type="pct"/>
            <w:gridSpan w:val="2"/>
            <w:tcBorders>
              <w:right w:val="single" w:sz="4" w:space="0" w:color="auto"/>
            </w:tcBorders>
            <w:vAlign w:val="center"/>
          </w:tcPr>
          <w:p w14:paraId="3714ACC8" w14:textId="77777777" w:rsidR="00C72773" w:rsidRPr="005A38A6" w:rsidRDefault="00C72773" w:rsidP="00111EB4">
            <w:pPr>
              <w:tabs>
                <w:tab w:val="center" w:pos="1026"/>
                <w:tab w:val="right" w:pos="2052"/>
              </w:tabs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38A6">
              <w:rPr>
                <w:rFonts w:ascii="Times New Roman" w:eastAsia="Times New Roman" w:hAnsi="Times New Roman" w:cs="Times New Roman"/>
                <w:b/>
              </w:rPr>
              <w:t>Етапи*</w:t>
            </w:r>
          </w:p>
        </w:tc>
        <w:tc>
          <w:tcPr>
            <w:tcW w:w="882" w:type="pct"/>
            <w:tcBorders>
              <w:left w:val="single" w:sz="4" w:space="0" w:color="auto"/>
            </w:tcBorders>
            <w:vAlign w:val="center"/>
          </w:tcPr>
          <w:p w14:paraId="2F35388B" w14:textId="6A6194C5" w:rsidR="00C72773" w:rsidRPr="005A38A6" w:rsidRDefault="00C72773" w:rsidP="00111EB4">
            <w:pPr>
              <w:tabs>
                <w:tab w:val="center" w:pos="1026"/>
                <w:tab w:val="right" w:pos="2052"/>
              </w:tabs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  <w:b/>
              </w:rPr>
              <w:t xml:space="preserve">Разом </w:t>
            </w:r>
          </w:p>
        </w:tc>
      </w:tr>
      <w:tr w:rsidR="00882656" w:rsidRPr="005A38A6" w14:paraId="4FE9914B" w14:textId="77777777" w:rsidTr="00C72773">
        <w:trPr>
          <w:cantSplit/>
          <w:trHeight w:val="360"/>
        </w:trPr>
        <w:tc>
          <w:tcPr>
            <w:tcW w:w="2724" w:type="pct"/>
            <w:vMerge/>
            <w:vAlign w:val="center"/>
          </w:tcPr>
          <w:p w14:paraId="16CCBFA1" w14:textId="77777777" w:rsidR="00C72773" w:rsidRPr="005A38A6" w:rsidRDefault="00C72773" w:rsidP="00111EB4">
            <w:pPr>
              <w:widowControl w:val="0"/>
              <w:spacing w:line="21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" w:type="pct"/>
          </w:tcPr>
          <w:p w14:paraId="47E030AB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1 етап</w:t>
            </w:r>
          </w:p>
        </w:tc>
        <w:tc>
          <w:tcPr>
            <w:tcW w:w="673" w:type="pct"/>
            <w:tcBorders>
              <w:right w:val="single" w:sz="4" w:space="0" w:color="auto"/>
            </w:tcBorders>
          </w:tcPr>
          <w:p w14:paraId="7EB7FE43" w14:textId="77777777" w:rsidR="00C72773" w:rsidRPr="005A38A6" w:rsidRDefault="00C72773" w:rsidP="00111EB4">
            <w:pPr>
              <w:tabs>
                <w:tab w:val="center" w:pos="1026"/>
                <w:tab w:val="right" w:pos="2052"/>
              </w:tabs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2 етап</w:t>
            </w:r>
          </w:p>
        </w:tc>
        <w:tc>
          <w:tcPr>
            <w:tcW w:w="882" w:type="pct"/>
          </w:tcPr>
          <w:p w14:paraId="5A1AC44D" w14:textId="77777777" w:rsidR="00C72773" w:rsidRPr="005A38A6" w:rsidRDefault="00C72773" w:rsidP="00111EB4">
            <w:pPr>
              <w:tabs>
                <w:tab w:val="center" w:pos="1026"/>
                <w:tab w:val="right" w:pos="2052"/>
              </w:tabs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33A1ED08" w14:textId="77777777" w:rsidTr="00C72773">
        <w:tc>
          <w:tcPr>
            <w:tcW w:w="2724" w:type="pct"/>
          </w:tcPr>
          <w:p w14:paraId="4E77C37C" w14:textId="77777777" w:rsidR="00C72773" w:rsidRPr="005A38A6" w:rsidRDefault="00C72773" w:rsidP="00111EB4">
            <w:pPr>
              <w:spacing w:line="21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1. Витрати на оплату праці*</w:t>
            </w:r>
          </w:p>
        </w:tc>
        <w:tc>
          <w:tcPr>
            <w:tcW w:w="722" w:type="pct"/>
            <w:vAlign w:val="center"/>
          </w:tcPr>
          <w:p w14:paraId="639352B2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pct"/>
          </w:tcPr>
          <w:p w14:paraId="25D87106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pct"/>
          </w:tcPr>
          <w:p w14:paraId="0FFE8E33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6BB14A81" w14:textId="77777777" w:rsidTr="00C72773">
        <w:tc>
          <w:tcPr>
            <w:tcW w:w="2724" w:type="pct"/>
          </w:tcPr>
          <w:p w14:paraId="660F0FB7" w14:textId="77777777" w:rsidR="00C72773" w:rsidRPr="005A38A6" w:rsidRDefault="00C72773" w:rsidP="00111EB4">
            <w:pPr>
              <w:spacing w:line="21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2. Відрахування на соціальне страхування*</w:t>
            </w:r>
          </w:p>
        </w:tc>
        <w:tc>
          <w:tcPr>
            <w:tcW w:w="722" w:type="pct"/>
            <w:vAlign w:val="center"/>
          </w:tcPr>
          <w:p w14:paraId="6ADAC814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pct"/>
          </w:tcPr>
          <w:p w14:paraId="663A96FB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pct"/>
          </w:tcPr>
          <w:p w14:paraId="68C1BE60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1CBBE550" w14:textId="77777777" w:rsidTr="00C72773">
        <w:tc>
          <w:tcPr>
            <w:tcW w:w="2724" w:type="pct"/>
          </w:tcPr>
          <w:p w14:paraId="0B842AB5" w14:textId="77777777" w:rsidR="00C72773" w:rsidRPr="005A38A6" w:rsidRDefault="00C72773" w:rsidP="00111EB4">
            <w:pPr>
              <w:spacing w:line="21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3. Матеріали</w:t>
            </w:r>
          </w:p>
        </w:tc>
        <w:tc>
          <w:tcPr>
            <w:tcW w:w="722" w:type="pct"/>
            <w:vAlign w:val="center"/>
          </w:tcPr>
          <w:p w14:paraId="68670E56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pct"/>
          </w:tcPr>
          <w:p w14:paraId="549DD601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pct"/>
          </w:tcPr>
          <w:p w14:paraId="4119FAEB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2DD21C00" w14:textId="77777777" w:rsidTr="00C72773">
        <w:tc>
          <w:tcPr>
            <w:tcW w:w="2724" w:type="pct"/>
          </w:tcPr>
          <w:p w14:paraId="6F58DCAA" w14:textId="77777777" w:rsidR="00C72773" w:rsidRPr="005A38A6" w:rsidRDefault="00C72773" w:rsidP="00111EB4">
            <w:pPr>
              <w:spacing w:line="21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4. Паливо та енергія для науково-виробничих цілей</w:t>
            </w:r>
          </w:p>
        </w:tc>
        <w:tc>
          <w:tcPr>
            <w:tcW w:w="722" w:type="pct"/>
            <w:vAlign w:val="center"/>
          </w:tcPr>
          <w:p w14:paraId="3F166536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pct"/>
          </w:tcPr>
          <w:p w14:paraId="5935A168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pct"/>
          </w:tcPr>
          <w:p w14:paraId="2F676D1F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6E6C24E8" w14:textId="77777777" w:rsidTr="00C72773">
        <w:tc>
          <w:tcPr>
            <w:tcW w:w="2724" w:type="pct"/>
          </w:tcPr>
          <w:p w14:paraId="7088E864" w14:textId="77777777" w:rsidR="00C72773" w:rsidRPr="005A38A6" w:rsidRDefault="00C72773" w:rsidP="00111EB4">
            <w:pPr>
              <w:spacing w:line="21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5. Витрати на службові відрядження</w:t>
            </w:r>
          </w:p>
        </w:tc>
        <w:tc>
          <w:tcPr>
            <w:tcW w:w="722" w:type="pct"/>
            <w:vAlign w:val="center"/>
          </w:tcPr>
          <w:p w14:paraId="4F482D9A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pct"/>
          </w:tcPr>
          <w:p w14:paraId="1F0A4EBB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pct"/>
          </w:tcPr>
          <w:p w14:paraId="19F1DB06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62E43570" w14:textId="77777777" w:rsidTr="00C72773">
        <w:tc>
          <w:tcPr>
            <w:tcW w:w="2724" w:type="pct"/>
          </w:tcPr>
          <w:p w14:paraId="45D0CD2B" w14:textId="77777777" w:rsidR="00C72773" w:rsidRPr="005A38A6" w:rsidRDefault="00C72773" w:rsidP="00111EB4">
            <w:pPr>
              <w:spacing w:line="21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6. Спецустаткування для наукових (експериментальних) робіт</w:t>
            </w:r>
          </w:p>
        </w:tc>
        <w:tc>
          <w:tcPr>
            <w:tcW w:w="722" w:type="pct"/>
            <w:vAlign w:val="center"/>
          </w:tcPr>
          <w:p w14:paraId="765BD23E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pct"/>
          </w:tcPr>
          <w:p w14:paraId="3B9D9CBE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pct"/>
          </w:tcPr>
          <w:p w14:paraId="2732CCB6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1A55EF32" w14:textId="77777777" w:rsidTr="00C72773">
        <w:trPr>
          <w:trHeight w:val="770"/>
        </w:trPr>
        <w:tc>
          <w:tcPr>
            <w:tcW w:w="2724" w:type="pct"/>
          </w:tcPr>
          <w:p w14:paraId="67E2E2ED" w14:textId="77777777" w:rsidR="00C72773" w:rsidRPr="005A38A6" w:rsidRDefault="00C72773" w:rsidP="00111EB4">
            <w:pPr>
              <w:spacing w:line="21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7. Витрати на роботи, які виконуються сторонніми підприємствами, установами, організаціями – співвиконавцями</w:t>
            </w:r>
          </w:p>
        </w:tc>
        <w:tc>
          <w:tcPr>
            <w:tcW w:w="722" w:type="pct"/>
            <w:vAlign w:val="center"/>
          </w:tcPr>
          <w:p w14:paraId="062884C1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pct"/>
          </w:tcPr>
          <w:p w14:paraId="5B798DBE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pct"/>
          </w:tcPr>
          <w:p w14:paraId="530FA5BC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05715195" w14:textId="77777777" w:rsidTr="00C72773">
        <w:tc>
          <w:tcPr>
            <w:tcW w:w="2724" w:type="pct"/>
          </w:tcPr>
          <w:p w14:paraId="6DC61918" w14:textId="77777777" w:rsidR="00C72773" w:rsidRPr="005A38A6" w:rsidRDefault="00C72773" w:rsidP="00111EB4">
            <w:pPr>
              <w:spacing w:line="21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8. Інші витрати</w:t>
            </w:r>
          </w:p>
        </w:tc>
        <w:tc>
          <w:tcPr>
            <w:tcW w:w="722" w:type="pct"/>
            <w:vAlign w:val="center"/>
          </w:tcPr>
          <w:p w14:paraId="63BD95F1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pct"/>
          </w:tcPr>
          <w:p w14:paraId="7B2E31DD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pct"/>
          </w:tcPr>
          <w:p w14:paraId="6CEE1A3C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3E06DEC8" w14:textId="77777777" w:rsidTr="00C72773">
        <w:tc>
          <w:tcPr>
            <w:tcW w:w="2724" w:type="pct"/>
          </w:tcPr>
          <w:p w14:paraId="67537640" w14:textId="77777777" w:rsidR="00C72773" w:rsidRPr="005A38A6" w:rsidRDefault="00C72773" w:rsidP="00111EB4">
            <w:pPr>
              <w:spacing w:line="21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9. Накладні (адміністративні) витрати*</w:t>
            </w:r>
          </w:p>
        </w:tc>
        <w:tc>
          <w:tcPr>
            <w:tcW w:w="722" w:type="pct"/>
            <w:vAlign w:val="center"/>
          </w:tcPr>
          <w:p w14:paraId="07EC6D24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pct"/>
          </w:tcPr>
          <w:p w14:paraId="1423A32C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pct"/>
          </w:tcPr>
          <w:p w14:paraId="24647C72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2773" w:rsidRPr="005A38A6" w14:paraId="364729F6" w14:textId="77777777" w:rsidTr="00C72773">
        <w:tc>
          <w:tcPr>
            <w:tcW w:w="2724" w:type="pct"/>
          </w:tcPr>
          <w:p w14:paraId="289D6F6E" w14:textId="77777777" w:rsidR="00C72773" w:rsidRPr="005A38A6" w:rsidRDefault="00C72773" w:rsidP="00111EB4">
            <w:pPr>
              <w:spacing w:line="216" w:lineRule="auto"/>
              <w:ind w:left="0" w:hanging="2"/>
              <w:jc w:val="right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  <w:b/>
              </w:rPr>
              <w:t xml:space="preserve">Всього </w:t>
            </w:r>
          </w:p>
        </w:tc>
        <w:tc>
          <w:tcPr>
            <w:tcW w:w="722" w:type="pct"/>
            <w:vAlign w:val="center"/>
          </w:tcPr>
          <w:p w14:paraId="3AC8A175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pct"/>
          </w:tcPr>
          <w:p w14:paraId="3DE6DED2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pct"/>
          </w:tcPr>
          <w:p w14:paraId="089E26E7" w14:textId="77777777" w:rsidR="00C72773" w:rsidRPr="005A38A6" w:rsidRDefault="00C72773" w:rsidP="00111EB4">
            <w:pPr>
              <w:spacing w:line="21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3218520" w14:textId="77777777" w:rsidR="008C574A" w:rsidRPr="005A38A6" w:rsidRDefault="008C574A" w:rsidP="008C574A">
      <w:pPr>
        <w:widowControl w:val="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FD16C3" w14:textId="77777777" w:rsidR="008C574A" w:rsidRPr="005A38A6" w:rsidRDefault="008C574A" w:rsidP="008C574A">
      <w:pPr>
        <w:widowControl w:val="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* </w:t>
      </w: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>Примітка:</w:t>
      </w:r>
    </w:p>
    <w:p w14:paraId="635EED29" w14:textId="07B8E89F" w:rsidR="008C574A" w:rsidRPr="005A38A6" w:rsidRDefault="00285BAD" w:rsidP="008C574A">
      <w:pPr>
        <w:widowControl w:val="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1) </w:t>
      </w:r>
      <w:r w:rsidR="008C574A" w:rsidRPr="005A38A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Строк виконання Розробок:</w:t>
      </w:r>
    </w:p>
    <w:p w14:paraId="4BBD322F" w14:textId="33B08153" w:rsidR="008C574A" w:rsidRPr="005A38A6" w:rsidRDefault="008C574A" w:rsidP="008C574A">
      <w:pPr>
        <w:widowControl w:val="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Строк виконання Р</w:t>
      </w:r>
      <w:r w:rsidR="00C72773" w:rsidRPr="005A38A6">
        <w:rPr>
          <w:rFonts w:ascii="Times New Roman" w:eastAsia="Times New Roman" w:hAnsi="Times New Roman" w:cs="Times New Roman"/>
          <w:i/>
          <w:sz w:val="24"/>
          <w:szCs w:val="24"/>
        </w:rPr>
        <w:t>озробок – до 12 місяців.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C57EE" w:rsidRPr="005A38A6">
        <w:rPr>
          <w:rFonts w:ascii="Times New Roman" w:eastAsia="Times New Roman" w:hAnsi="Times New Roman" w:cs="Times New Roman"/>
          <w:i/>
          <w:sz w:val="24"/>
          <w:szCs w:val="24"/>
        </w:rPr>
        <w:t>Строки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виконання Розробок визначено міністерствами, іншими центральними органами виконавчої влади</w:t>
      </w:r>
      <w:r w:rsidR="00C72773"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у Вихідних технічних завданнях. 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Рекомендована тривалість етапу 6 міс</w:t>
      </w:r>
      <w:r w:rsidR="00285BAD" w:rsidRPr="005A38A6">
        <w:rPr>
          <w:rFonts w:ascii="Times New Roman" w:eastAsia="Times New Roman" w:hAnsi="Times New Roman" w:cs="Times New Roman"/>
          <w:i/>
          <w:sz w:val="24"/>
          <w:szCs w:val="24"/>
        </w:rPr>
        <w:t>яців;</w:t>
      </w:r>
    </w:p>
    <w:p w14:paraId="343B0B51" w14:textId="035E62A1" w:rsidR="008C574A" w:rsidRPr="005A38A6" w:rsidRDefault="00285BAD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2) </w:t>
      </w:r>
      <w:r w:rsidR="008C574A" w:rsidRPr="005A38A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Рекомендований обсяг витрат на: </w:t>
      </w:r>
    </w:p>
    <w:p w14:paraId="582DFEE3" w14:textId="3BE90809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фонд оплати праці та відрахування на соціальне страхування (сумарно) не більше 70 % </w:t>
      </w: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від загальної вартості Розробки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(з урахуванням абзацу першого частини другої статті 36 Закону України "Про наукову і науково-технічну діяльність" рекомендований гранично обґрунтований обсяг оплати праці на одну особу встановлюється на рівні не вище одинадцяти прожиткових мінімумів для працездатних осіб, розмір якого встановлено законом 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br/>
        <w:t>на 1 січня 202</w:t>
      </w:r>
      <w:r w:rsidR="001F63C9" w:rsidRPr="005A38A6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року</w:t>
      </w:r>
      <w:r w:rsidR="009C3C60"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(33,</w:t>
      </w:r>
      <w:r w:rsidR="001F63C9" w:rsidRPr="005A38A6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9C3C60"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тис. грн/міс.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);</w:t>
      </w:r>
    </w:p>
    <w:p w14:paraId="779829D8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>оплату робіт співвиконавців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не більше 30 % від загальної вартості Розробки;</w:t>
      </w:r>
    </w:p>
    <w:p w14:paraId="238A4C71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>накладні (адміністративні) витрати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не більше 10 % від загальної вартості Розробки;</w:t>
      </w:r>
    </w:p>
    <w:p w14:paraId="0BA34007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Планування статей витрат:</w:t>
      </w:r>
    </w:p>
    <w:p w14:paraId="10DC1022" w14:textId="2BC7AD21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витрати за статтями витрат </w:t>
      </w: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>“Матеріали”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та </w:t>
      </w: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>“Спецустаткування для наукових (експериментальних) робіт”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необхідно планувати з урахуванням підпункту 14.1.138 пункту 14.1 статті 1</w:t>
      </w:r>
      <w:r w:rsidR="00111EB4"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4 Податкового Кодексу України: 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“14.1.138. основні засоби – матеріальні активи, у тому числі запаси корисних копалин наданих у користування ділянок надр (крім вартості землі, незавершених капітальних інвестицій, автомобільних доріг загального користування, бібліотечних і архівних фондів, матеріальних активів, вартість яких не перевищує </w:t>
      </w:r>
      <w:r w:rsidR="00111EB4" w:rsidRPr="005A38A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20 000 гривень, невиробничих основних засобів і нематеріальних активів), що призначаються платником податку для використання у господарській діяльності платника податку, вартість яких перевищує 20 000 гривень і поступово зменшується у зв'язку з фізичним або моральним зносом та очікуваний строк корисного використання (експлуатації) яких з дати введення в експлуатацію становить понад один рік (або операційний цикл, якщо він довший за рі</w:t>
      </w:r>
      <w:r w:rsidR="00111EB4" w:rsidRPr="005A38A6">
        <w:rPr>
          <w:rFonts w:ascii="Times New Roman" w:eastAsia="Times New Roman" w:hAnsi="Times New Roman" w:cs="Times New Roman"/>
          <w:i/>
          <w:sz w:val="24"/>
          <w:szCs w:val="24"/>
        </w:rPr>
        <w:t>к)”.  Тому до витрат за статтею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“Спецустаткування для наукових (експериментальних) робіт” </w:t>
      </w:r>
      <w:r w:rsidR="00285BAD" w:rsidRPr="005A38A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(КЕКВ 3110) відносяться основні засоби – матеріальні активи, вартість яких перевищує </w:t>
      </w:r>
      <w:r w:rsidR="00111EB4" w:rsidRPr="005A38A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9D2FE4"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20,0 тис. 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грн (без ПДВ), а до статті витрат “Матеріали” (КЕКВ 2210) відносяться основні засоби – матеріальні активи, у тому числі, вартість яки</w:t>
      </w:r>
      <w:r w:rsidR="00111EB4"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х не перевищують 20,0 тис. грн </w:t>
      </w:r>
      <w:r w:rsidR="00111EB4" w:rsidRPr="005A38A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(без ПДВ)</w:t>
      </w:r>
      <w:r w:rsidR="00111EB4" w:rsidRPr="005A38A6">
        <w:rPr>
          <w:rFonts w:ascii="Times New Roman" w:eastAsia="Times New Roman" w:hAnsi="Times New Roman" w:cs="Times New Roman"/>
          <w:i/>
          <w:sz w:val="24"/>
          <w:szCs w:val="24"/>
        </w:rPr>
        <w:t>. При цьому, заплановані витрати мають узгоджуватись з тими кодами, за якими Державна казначейська служба України здійснює оплату бюджетних коштів;</w:t>
      </w:r>
    </w:p>
    <w:p w14:paraId="656395AE" w14:textId="67A0BAD4" w:rsidR="008C574A" w:rsidRPr="005A38A6" w:rsidRDefault="00000000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sdt>
        <w:sdtPr>
          <w:tag w:val="goog_rdk_5"/>
          <w:id w:val="1303664058"/>
        </w:sdtPr>
        <w:sdtContent/>
      </w:sdt>
      <w:sdt>
        <w:sdtPr>
          <w:tag w:val="goog_rdk_6"/>
          <w:id w:val="534320345"/>
        </w:sdtPr>
        <w:sdtContent/>
      </w:sdt>
      <w:r w:rsidR="008C574A" w:rsidRPr="005A38A6">
        <w:rPr>
          <w:rFonts w:ascii="Times New Roman" w:eastAsia="Times New Roman" w:hAnsi="Times New Roman" w:cs="Times New Roman"/>
          <w:i/>
          <w:sz w:val="24"/>
          <w:szCs w:val="24"/>
        </w:rPr>
        <w:t>витрати за статтею “</w:t>
      </w:r>
      <w:r w:rsidR="008C574A"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>Витрати на роботи, які виконуються сторонніми підприємствами, установами, організаціями – співвиконавцями”</w:t>
      </w:r>
      <w:r w:rsidR="008C574A"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можуть бути заплановані у разі необхідності залучення матеріально-технічного та кадрового забезпечення сторонніх підприємств, установ, організацій з наданням відповідного обґрун</w:t>
      </w:r>
      <w:r w:rsidR="00285BAD" w:rsidRPr="005A38A6">
        <w:rPr>
          <w:rFonts w:ascii="Times New Roman" w:eastAsia="Times New Roman" w:hAnsi="Times New Roman" w:cs="Times New Roman"/>
          <w:i/>
          <w:sz w:val="24"/>
          <w:szCs w:val="24"/>
        </w:rPr>
        <w:t>тування;</w:t>
      </w:r>
    </w:p>
    <w:p w14:paraId="3872304B" w14:textId="1C2A8CDD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витрати за статтею </w:t>
      </w: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>“Паливо та енергія для науково-виробничих цілей”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можуть бути заплановані лише у випадках використання в рамках виконання Розробки енергоємного обладнання та паливно-мастильних матеріалів  з н</w:t>
      </w:r>
      <w:r w:rsidR="00285BAD" w:rsidRPr="005A38A6">
        <w:rPr>
          <w:rFonts w:ascii="Times New Roman" w:eastAsia="Times New Roman" w:hAnsi="Times New Roman" w:cs="Times New Roman"/>
          <w:i/>
          <w:sz w:val="24"/>
          <w:szCs w:val="24"/>
        </w:rPr>
        <w:t>аданням відповідних розрахунків;</w:t>
      </w:r>
    </w:p>
    <w:p w14:paraId="0FB37F4C" w14:textId="309CF0E9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витрати за статтею “</w:t>
      </w: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>Інші витрати”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 xml:space="preserve"> – витрати, які не знайшли відображення у вищезазначених статтях витрат, але є необхідними для виконання Розробки, зокрема, на оплату послуг. До цієї статті витрат можуть включатися витрати на оплату: послуг з оформлення об'єктів права інтелектуальної власності, оренди спецустаткування, послуги з придбання ліцензійного програмного забезпечення, технічних  послуг, послуг зв’язку тощо.</w:t>
      </w:r>
    </w:p>
    <w:p w14:paraId="7427361C" w14:textId="77777777" w:rsidR="008C574A" w:rsidRPr="005A38A6" w:rsidRDefault="008C574A" w:rsidP="008C574A">
      <w:pPr>
        <w:widowControl w:val="0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53D685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14. ОБҐРУНТУВАННЯ ВИТРАТ ДЛЯ ВИКОНАННЯ РОЗРОБКИ ЗА СТАТТЯМИ КОШТОРИСУ</w:t>
      </w:r>
    </w:p>
    <w:p w14:paraId="6E597A04" w14:textId="3423BBD3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14.1. Витрати на оплату праці: зазначити необхідну кількість виконавців* (у тому числі наукових та інженерно-технічних працівників), їх посади, науковий ступінь (за наявності), вчене звання (за наявності); кількість запланованих людино-місяців щодо кожного виконавця і кожного етапу Розробки.</w:t>
      </w:r>
    </w:p>
    <w:p w14:paraId="046187CA" w14:textId="6F2BD645" w:rsidR="00B353AF" w:rsidRPr="005A38A6" w:rsidRDefault="00B353AF" w:rsidP="00B353AF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14.2. Відрахування на соціальне страхування*.</w:t>
      </w:r>
    </w:p>
    <w:p w14:paraId="79AAD327" w14:textId="108053EB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B353AF" w:rsidRPr="005A38A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>. Перелік та кількість необхідних матеріалів та комплектуючих, орієнтовна ціна, країна-виробник, обґрунтування необхідності їх придбання.</w:t>
      </w:r>
    </w:p>
    <w:p w14:paraId="19060F41" w14:textId="50E21D32" w:rsidR="00B353AF" w:rsidRPr="005A38A6" w:rsidRDefault="00B353AF" w:rsidP="00B353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14.4. Паливо та енергія для науково-виробничих цілей</w:t>
      </w:r>
    </w:p>
    <w:p w14:paraId="297367FF" w14:textId="1F047E87" w:rsidR="008C574A" w:rsidRPr="005A38A6" w:rsidRDefault="00B353AF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14.5</w:t>
      </w:r>
      <w:r w:rsidR="008C574A" w:rsidRPr="005A38A6">
        <w:rPr>
          <w:rFonts w:ascii="Times New Roman" w:eastAsia="Times New Roman" w:hAnsi="Times New Roman" w:cs="Times New Roman"/>
          <w:sz w:val="24"/>
          <w:szCs w:val="24"/>
        </w:rPr>
        <w:t>. Витрати на службові відрядження: пояснити мету, надати інформацію про пункт відрядження (тільки в межах України), кількість відряджень, кількість відряджених, тривалість відрядження)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>**</w:t>
      </w:r>
      <w:r w:rsidR="008C574A" w:rsidRPr="005A3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69599C" w14:textId="5DF690A9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B353AF" w:rsidRPr="005A38A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 xml:space="preserve">. Витрати на спецустаткування для наукових (експериментальних) робіт: </w:t>
      </w:r>
    </w:p>
    <w:p w14:paraId="239F8373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 xml:space="preserve">Навести перелік необхідного для придбання спецустаткування, зазначивши назву виробника, орієнтовну ціну, джерело інформації (сайт постачальника, техніко-комерційна пропозиція  тощо). </w:t>
      </w:r>
    </w:p>
    <w:p w14:paraId="39829B15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Довести необхідність придбання додаткового спецустаткування за рахунок коштів Розробки.</w:t>
      </w:r>
    </w:p>
    <w:p w14:paraId="62845955" w14:textId="11C6F026" w:rsidR="008C574A" w:rsidRPr="005A38A6" w:rsidRDefault="00B353AF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14.7</w:t>
      </w:r>
      <w:r w:rsidR="008C574A" w:rsidRPr="005A38A6">
        <w:rPr>
          <w:rFonts w:ascii="Times New Roman" w:eastAsia="Times New Roman" w:hAnsi="Times New Roman" w:cs="Times New Roman"/>
          <w:sz w:val="24"/>
          <w:szCs w:val="24"/>
        </w:rPr>
        <w:t>. Витрати на роботи, що виконуються сторонніми організаціями (співвиконавці)*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>**</w:t>
      </w:r>
      <w:r w:rsidR="008C574A" w:rsidRPr="005A38A6">
        <w:rPr>
          <w:rFonts w:ascii="Times New Roman" w:eastAsia="Times New Roman" w:hAnsi="Times New Roman" w:cs="Times New Roman"/>
          <w:sz w:val="24"/>
          <w:szCs w:val="24"/>
        </w:rPr>
        <w:t>. Зазначається наступна інформація: наявність відповідного досвіду потенційного співвиконавця, матеріально-технічної бази та працівників відповідної кваліфікації; обсяги фінансування робіт співвиконавців.</w:t>
      </w:r>
    </w:p>
    <w:p w14:paraId="4F8D20BA" w14:textId="01AC9196" w:rsidR="00B353AF" w:rsidRPr="005A38A6" w:rsidRDefault="00B353AF" w:rsidP="00B353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14.8. Інші витрати: наводяться відповідні обґрунтування та зазначаються цілі.</w:t>
      </w:r>
    </w:p>
    <w:p w14:paraId="742D58F5" w14:textId="55AAA7C5" w:rsidR="00B353AF" w:rsidRPr="005A38A6" w:rsidRDefault="00B353AF" w:rsidP="00B353AF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14.9. Накладні (адміністративні) витрати</w:t>
      </w: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0A63F084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</w:rPr>
      </w:pPr>
    </w:p>
    <w:p w14:paraId="370EBB3D" w14:textId="11562F1E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>Примітк</w:t>
      </w:r>
      <w:r w:rsidR="00B353AF"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52602464" w14:textId="78B8201B" w:rsidR="00B353AF" w:rsidRPr="005A38A6" w:rsidRDefault="00B353AF" w:rsidP="008C574A">
      <w:pPr>
        <w:spacing w:line="240" w:lineRule="auto"/>
        <w:ind w:left="0" w:hanging="2"/>
        <w:jc w:val="both"/>
        <w:rPr>
          <w:rFonts w:ascii="e-Ukraine" w:hAnsi="e-Ukraine"/>
          <w:i/>
          <w:iCs/>
          <w:shd w:val="clear" w:color="auto" w:fill="FFFFFF"/>
        </w:rPr>
      </w:pPr>
      <w:r w:rsidRPr="005A38A6">
        <w:rPr>
          <w:rFonts w:ascii="Times New Roman" w:eastAsia="Times New Roman" w:hAnsi="Times New Roman" w:cs="Times New Roman"/>
          <w:b/>
          <w:i/>
        </w:rPr>
        <w:t>*</w:t>
      </w:r>
      <w:r w:rsidRPr="005A3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38A6">
        <w:rPr>
          <w:rFonts w:ascii="e-Ukraine" w:hAnsi="e-Ukraine"/>
          <w:i/>
          <w:iCs/>
          <w:shd w:val="clear" w:color="auto" w:fill="FFFFFF"/>
        </w:rPr>
        <w:t>Витрати за статтею</w:t>
      </w:r>
      <w:r w:rsidRPr="005A38A6">
        <w:rPr>
          <w:rFonts w:ascii="e-Ukraine" w:hAnsi="e-Ukraine"/>
          <w:b/>
          <w:i/>
          <w:iCs/>
          <w:shd w:val="clear" w:color="auto" w:fill="FFFFFF"/>
        </w:rPr>
        <w:t xml:space="preserve"> «Відрахування на соціальне страхування»</w:t>
      </w:r>
      <w:r w:rsidRPr="005A38A6">
        <w:rPr>
          <w:rFonts w:ascii="e-Ukraine" w:hAnsi="e-Ukraine"/>
          <w:i/>
          <w:iCs/>
          <w:shd w:val="clear" w:color="auto" w:fill="FFFFFF"/>
        </w:rPr>
        <w:t xml:space="preserve"> розраховуються автоматично в обсязі 22% від фонду оплати праці..</w:t>
      </w:r>
    </w:p>
    <w:p w14:paraId="5F81D6DD" w14:textId="6F4F5AED" w:rsidR="00B353AF" w:rsidRPr="005A38A6" w:rsidRDefault="00B353AF" w:rsidP="008C574A">
      <w:pPr>
        <w:spacing w:line="240" w:lineRule="auto"/>
        <w:ind w:left="0" w:hanging="2"/>
        <w:jc w:val="both"/>
        <w:rPr>
          <w:rFonts w:ascii="e-Ukraine" w:hAnsi="e-Ukraine"/>
          <w:i/>
          <w:iCs/>
          <w:shd w:val="clear" w:color="auto" w:fill="FFFFFF"/>
        </w:rPr>
      </w:pPr>
      <w:r w:rsidRPr="005A38A6">
        <w:rPr>
          <w:rFonts w:ascii="Times New Roman" w:eastAsia="Times New Roman" w:hAnsi="Times New Roman" w:cs="Times New Roman"/>
          <w:b/>
          <w:i/>
        </w:rPr>
        <w:t xml:space="preserve">** </w:t>
      </w:r>
      <w:r w:rsidRPr="005A38A6">
        <w:rPr>
          <w:rFonts w:ascii="e-Ukraine" w:hAnsi="e-Ukraine"/>
          <w:i/>
          <w:iCs/>
          <w:shd w:val="clear" w:color="auto" w:fill="FFFFFF"/>
        </w:rPr>
        <w:t xml:space="preserve">Розрахунки здійснюються з урахуванням сум </w:t>
      </w:r>
      <w:r w:rsidRPr="005A38A6">
        <w:rPr>
          <w:rFonts w:ascii="e-Ukraine" w:hAnsi="e-Ukraine"/>
          <w:b/>
          <w:i/>
          <w:iCs/>
          <w:shd w:val="clear" w:color="auto" w:fill="FFFFFF"/>
        </w:rPr>
        <w:t>витрат на відрядження</w:t>
      </w:r>
      <w:r w:rsidRPr="005A38A6">
        <w:rPr>
          <w:rFonts w:ascii="e-Ukraine" w:hAnsi="e-Ukraine"/>
          <w:i/>
          <w:iCs/>
          <w:shd w:val="clear" w:color="auto" w:fill="FFFFFF"/>
        </w:rPr>
        <w:t xml:space="preserve"> визначених постановою Кабінету Міністрів України від 2 лютого 2011 р.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коштів».</w:t>
      </w:r>
    </w:p>
    <w:p w14:paraId="4B31F158" w14:textId="14CAA159" w:rsidR="008C574A" w:rsidRPr="005A38A6" w:rsidRDefault="00B353AF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</w:rPr>
      </w:pPr>
      <w:r w:rsidRPr="005A38A6">
        <w:rPr>
          <w:rFonts w:ascii="e-Ukraine" w:hAnsi="e-Ukraine"/>
          <w:b/>
          <w:i/>
          <w:iCs/>
          <w:shd w:val="clear" w:color="auto" w:fill="FFFFFF"/>
        </w:rPr>
        <w:t xml:space="preserve">*** </w:t>
      </w:r>
      <w:r w:rsidR="008C574A" w:rsidRPr="005A38A6">
        <w:rPr>
          <w:rFonts w:ascii="Times New Roman" w:eastAsia="Times New Roman" w:hAnsi="Times New Roman" w:cs="Times New Roman"/>
          <w:i/>
        </w:rPr>
        <w:t xml:space="preserve">У разі необхідності </w:t>
      </w:r>
      <w:r w:rsidR="008C574A" w:rsidRPr="005A38A6">
        <w:rPr>
          <w:rFonts w:ascii="Times New Roman" w:eastAsia="Times New Roman" w:hAnsi="Times New Roman" w:cs="Times New Roman"/>
          <w:b/>
          <w:i/>
        </w:rPr>
        <w:t>залучення організацій-співвиконавців</w:t>
      </w:r>
      <w:r w:rsidR="008C574A" w:rsidRPr="005A38A6">
        <w:rPr>
          <w:rFonts w:ascii="Times New Roman" w:eastAsia="Times New Roman" w:hAnsi="Times New Roman" w:cs="Times New Roman"/>
          <w:i/>
        </w:rPr>
        <w:t xml:space="preserve"> надається обґрунтування щодо доцільності  їх участі у розробці з урахуванням особливостей здійснення публічних закупівель товарів, робіт і послуг для замовників, передбачених Законом України “Про публічні закупівлі”, з наданням інформації про вимоги до потенційного співвиконавця: спеціалізація, досвід, технічне оснащення, наявність кваліфікованих працівників тощо.</w:t>
      </w:r>
    </w:p>
    <w:p w14:paraId="5604A32B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</w:rPr>
      </w:pPr>
      <w:bookmarkStart w:id="1" w:name="_heading=h.30j0zll" w:colFirst="0" w:colLast="0"/>
      <w:bookmarkEnd w:id="1"/>
      <w:r w:rsidRPr="005A38A6">
        <w:rPr>
          <w:rFonts w:ascii="Times New Roman" w:eastAsia="Times New Roman" w:hAnsi="Times New Roman" w:cs="Times New Roman"/>
          <w:i/>
        </w:rPr>
        <w:t>У випадку проведення процедури спрощеної закупівлі зазначається інформація про повну назву організації (підприємства), відомчу підпорядкованість).</w:t>
      </w:r>
    </w:p>
    <w:p w14:paraId="3D5994D3" w14:textId="71D4FB95" w:rsidR="00113200" w:rsidRPr="005A38A6" w:rsidRDefault="00113200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2" w:name="_heading=h.pnefiool048e" w:colFirst="0" w:colLast="0"/>
      <w:bookmarkEnd w:id="2"/>
    </w:p>
    <w:p w14:paraId="17F6B635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5A38A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>ЗАЛУЧЕННЯ ДОДАТКОВИХ КОШТІВ (СПІВФІНАНСУВАННЯ)</w:t>
      </w:r>
    </w:p>
    <w:p w14:paraId="6EB8CBF1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15.1. Залучення додаткових коштів на фінансування Розробки в обсязі, що відповідає нормам максимального розміру державної допомоги, яка може надаватися суб’єктам підприємництва (обов’язково) для відшкодування витрат на проведення наукових досліджень, технічний розвиток та інноваційну діяльність* відповідно до статей витрат, визначених у пункті 14 цієї заявки. Або додаткове співфінансування для наукових установ та закладів вищої освіти (добровільно).</w:t>
      </w:r>
    </w:p>
    <w:p w14:paraId="4274E1B3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15.2. Повне найменування підприємства, установи, організації, що надаватиме кошти на умовах співфінансування (відповідно до статуту або іншого установчого документа)</w:t>
      </w:r>
    </w:p>
    <w:p w14:paraId="19036154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90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7230"/>
      </w:tblGrid>
      <w:tr w:rsidR="00882656" w:rsidRPr="005A38A6" w14:paraId="2FF205D2" w14:textId="77777777" w:rsidTr="00111EB4">
        <w:tc>
          <w:tcPr>
            <w:tcW w:w="2760" w:type="dxa"/>
          </w:tcPr>
          <w:p w14:paraId="31B98A11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Код за ЄДРПОУ</w:t>
            </w:r>
          </w:p>
        </w:tc>
        <w:tc>
          <w:tcPr>
            <w:tcW w:w="7230" w:type="dxa"/>
          </w:tcPr>
          <w:p w14:paraId="35F26AA5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7C452D50" w14:textId="77777777" w:rsidTr="00111EB4">
        <w:tc>
          <w:tcPr>
            <w:tcW w:w="2760" w:type="dxa"/>
          </w:tcPr>
          <w:p w14:paraId="72D626DF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7230" w:type="dxa"/>
          </w:tcPr>
          <w:p w14:paraId="1C9E3432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54D3879E" w14:textId="77777777" w:rsidTr="00111EB4">
        <w:tc>
          <w:tcPr>
            <w:tcW w:w="2760" w:type="dxa"/>
          </w:tcPr>
          <w:p w14:paraId="04E85D63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Банківські реквізити</w:t>
            </w:r>
          </w:p>
        </w:tc>
        <w:tc>
          <w:tcPr>
            <w:tcW w:w="7230" w:type="dxa"/>
          </w:tcPr>
          <w:p w14:paraId="6153543D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593A44CE" w14:textId="77777777" w:rsidTr="00111EB4">
        <w:tc>
          <w:tcPr>
            <w:tcW w:w="2760" w:type="dxa"/>
          </w:tcPr>
          <w:p w14:paraId="5206A1F9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Найменування банку</w:t>
            </w:r>
          </w:p>
        </w:tc>
        <w:tc>
          <w:tcPr>
            <w:tcW w:w="7230" w:type="dxa"/>
          </w:tcPr>
          <w:p w14:paraId="6380A4AC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82656" w:rsidRPr="005A38A6" w14:paraId="672F05D4" w14:textId="77777777" w:rsidTr="00111EB4">
        <w:tc>
          <w:tcPr>
            <w:tcW w:w="2760" w:type="dxa"/>
          </w:tcPr>
          <w:p w14:paraId="2B6E8960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 xml:space="preserve">Номер рахунку за відповідним напрямом діяльності </w:t>
            </w:r>
          </w:p>
        </w:tc>
        <w:tc>
          <w:tcPr>
            <w:tcW w:w="7230" w:type="dxa"/>
          </w:tcPr>
          <w:p w14:paraId="4A98E8FD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C574A" w:rsidRPr="005A38A6" w14:paraId="45F9B655" w14:textId="77777777" w:rsidTr="00111EB4">
        <w:tc>
          <w:tcPr>
            <w:tcW w:w="2760" w:type="dxa"/>
          </w:tcPr>
          <w:p w14:paraId="11FF80A4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МФО</w:t>
            </w:r>
          </w:p>
        </w:tc>
        <w:tc>
          <w:tcPr>
            <w:tcW w:w="7230" w:type="dxa"/>
          </w:tcPr>
          <w:p w14:paraId="11F6D944" w14:textId="77777777" w:rsidR="008C574A" w:rsidRPr="005A38A6" w:rsidRDefault="008C574A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D4B04D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i/>
        </w:rPr>
      </w:pPr>
    </w:p>
    <w:p w14:paraId="557C3025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</w:rPr>
      </w:pPr>
      <w:r w:rsidRPr="005A38A6">
        <w:rPr>
          <w:rFonts w:ascii="Times New Roman" w:eastAsia="Times New Roman" w:hAnsi="Times New Roman" w:cs="Times New Roman"/>
          <w:i/>
        </w:rPr>
        <w:t>*</w:t>
      </w:r>
      <w:r w:rsidRPr="005A38A6">
        <w:rPr>
          <w:rFonts w:ascii="Times New Roman" w:eastAsia="Times New Roman" w:hAnsi="Times New Roman" w:cs="Times New Roman"/>
          <w:b/>
          <w:i/>
        </w:rPr>
        <w:t> Примітка:</w:t>
      </w:r>
    </w:p>
    <w:p w14:paraId="184FE1CC" w14:textId="77777777" w:rsidR="008C574A" w:rsidRPr="005A38A6" w:rsidRDefault="00000000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</w:rPr>
      </w:pPr>
      <w:sdt>
        <w:sdtPr>
          <w:tag w:val="goog_rdk_7"/>
          <w:id w:val="955683783"/>
        </w:sdtPr>
        <w:sdtContent/>
      </w:sdt>
      <w:sdt>
        <w:sdtPr>
          <w:tag w:val="goog_rdk_8"/>
          <w:id w:val="-1438973761"/>
        </w:sdtPr>
        <w:sdtContent/>
      </w:sdt>
      <w:sdt>
        <w:sdtPr>
          <w:tag w:val="goog_rdk_9"/>
          <w:id w:val="-346324698"/>
        </w:sdtPr>
        <w:sdtContent/>
      </w:sdt>
      <w:sdt>
        <w:sdtPr>
          <w:tag w:val="goog_rdk_10"/>
          <w:id w:val="-463659433"/>
        </w:sdtPr>
        <w:sdtContent/>
      </w:sdt>
      <w:r w:rsidR="008C574A" w:rsidRPr="005A38A6">
        <w:rPr>
          <w:rFonts w:ascii="Times New Roman" w:eastAsia="Times New Roman" w:hAnsi="Times New Roman" w:cs="Times New Roman"/>
          <w:i/>
        </w:rPr>
        <w:t xml:space="preserve">Надання фінансової підтримки суб'єктам підприємництва здійснюється відповідно до </w:t>
      </w:r>
      <w:hyperlink r:id="rId8" w:anchor="n8">
        <w:r w:rsidR="008C574A" w:rsidRPr="005A38A6">
          <w:rPr>
            <w:rFonts w:ascii="Times New Roman" w:eastAsia="Times New Roman" w:hAnsi="Times New Roman" w:cs="Times New Roman"/>
            <w:i/>
          </w:rPr>
          <w:t>критеріїв оцінки допустимості державної допомоги суб’єктам господарювання на проведення наукових досліджень, технічний розвиток та інноваційну діяльність</w:t>
        </w:r>
      </w:hyperlink>
      <w:r w:rsidR="008C574A" w:rsidRPr="005A38A6">
        <w:rPr>
          <w:rFonts w:ascii="Times New Roman" w:eastAsia="Times New Roman" w:hAnsi="Times New Roman" w:cs="Times New Roman"/>
          <w:i/>
        </w:rPr>
        <w:t>, затверджених постановою Кабінету Міністрів України від 7 лютого 2018 р. № 118 (Офіційний вісник України, 2018 р., № 22, ст. 730). Рівень залучення співфінансування від загальної вартості Розробки (включно із співфінансуванням) при цьому є наступним:</w:t>
      </w:r>
    </w:p>
    <w:p w14:paraId="4B96073B" w14:textId="35581640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</w:rPr>
      </w:pPr>
      <w:r w:rsidRPr="005A38A6">
        <w:rPr>
          <w:rFonts w:ascii="Times New Roman" w:eastAsia="Times New Roman" w:hAnsi="Times New Roman" w:cs="Times New Roman"/>
          <w:i/>
        </w:rPr>
        <w:t>55 відсотків – у разі, коли учасником Конкурсу є суб’єкт малого підприємництва (</w:t>
      </w:r>
      <w:r w:rsidR="00111EB4" w:rsidRPr="005A38A6">
        <w:rPr>
          <w:rFonts w:ascii="Times New Roman" w:eastAsia="Times New Roman" w:hAnsi="Times New Roman" w:cs="Times New Roman"/>
          <w:i/>
        </w:rPr>
        <w:t xml:space="preserve">у т. ч. </w:t>
      </w:r>
      <w:r w:rsidRPr="005A38A6">
        <w:rPr>
          <w:rFonts w:ascii="Times New Roman" w:eastAsia="Times New Roman" w:hAnsi="Times New Roman" w:cs="Times New Roman"/>
          <w:i/>
        </w:rPr>
        <w:t>ПДВ);</w:t>
      </w:r>
    </w:p>
    <w:p w14:paraId="55A03E25" w14:textId="181EFA18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</w:rPr>
      </w:pPr>
      <w:r w:rsidRPr="005A38A6">
        <w:rPr>
          <w:rFonts w:ascii="Times New Roman" w:eastAsia="Times New Roman" w:hAnsi="Times New Roman" w:cs="Times New Roman"/>
          <w:i/>
        </w:rPr>
        <w:t>65 відсотків – у разі, коли учасником Конкурсу є суб’єкт середнього підприємництва (</w:t>
      </w:r>
      <w:r w:rsidR="00111EB4" w:rsidRPr="005A38A6">
        <w:rPr>
          <w:rFonts w:ascii="Times New Roman" w:eastAsia="Times New Roman" w:hAnsi="Times New Roman" w:cs="Times New Roman"/>
          <w:i/>
        </w:rPr>
        <w:t>у т. ч. ПДВ</w:t>
      </w:r>
      <w:r w:rsidRPr="005A38A6">
        <w:rPr>
          <w:rFonts w:ascii="Times New Roman" w:eastAsia="Times New Roman" w:hAnsi="Times New Roman" w:cs="Times New Roman"/>
          <w:i/>
        </w:rPr>
        <w:t>);</w:t>
      </w:r>
    </w:p>
    <w:p w14:paraId="7F7CF7DD" w14:textId="71E84921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</w:rPr>
      </w:pPr>
      <w:r w:rsidRPr="005A38A6">
        <w:rPr>
          <w:rFonts w:ascii="Times New Roman" w:eastAsia="Times New Roman" w:hAnsi="Times New Roman" w:cs="Times New Roman"/>
          <w:i/>
        </w:rPr>
        <w:t>75 відсотків – у разі, коли учасником Конкурсу є суб’єкт великого підприємництва (</w:t>
      </w:r>
      <w:r w:rsidR="00111EB4" w:rsidRPr="005A38A6">
        <w:rPr>
          <w:rFonts w:ascii="Times New Roman" w:eastAsia="Times New Roman" w:hAnsi="Times New Roman" w:cs="Times New Roman"/>
          <w:i/>
        </w:rPr>
        <w:t xml:space="preserve">у т. ч. ПДВ </w:t>
      </w:r>
      <w:r w:rsidRPr="005A38A6">
        <w:rPr>
          <w:rFonts w:ascii="Times New Roman" w:eastAsia="Times New Roman" w:hAnsi="Times New Roman" w:cs="Times New Roman"/>
          <w:i/>
        </w:rPr>
        <w:t>).</w:t>
      </w:r>
    </w:p>
    <w:p w14:paraId="798AEE2F" w14:textId="77777777" w:rsidR="008C574A" w:rsidRPr="005A38A6" w:rsidRDefault="008C574A" w:rsidP="008C574A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1E075E3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b/>
          <w:sz w:val="24"/>
          <w:szCs w:val="24"/>
        </w:rPr>
        <w:t xml:space="preserve">16. ПІДТВЕРДЖЕННЯ СПРОМОЖНОСТІ ЗАБЕЗПЕЧЕННЯ РОБОТИ З ІНФОРМАЦІЄЮ З ОБМЕЖЕНИМ ДОСТУПОМ </w:t>
      </w:r>
      <w:r w:rsidRPr="005A38A6">
        <w:rPr>
          <w:rFonts w:ascii="Times New Roman" w:eastAsia="Times New Roman" w:hAnsi="Times New Roman" w:cs="Times New Roman"/>
          <w:i/>
          <w:sz w:val="24"/>
          <w:szCs w:val="24"/>
        </w:rPr>
        <w:t>(у разі виникнення такої необхідності в процесі укладання договору або виконання Розробки)</w:t>
      </w:r>
    </w:p>
    <w:p w14:paraId="7B176632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B8791C" w14:textId="77777777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8A6">
        <w:rPr>
          <w:rFonts w:ascii="Times New Roman" w:eastAsia="Times New Roman" w:hAnsi="Times New Roman" w:cs="Times New Roman"/>
          <w:sz w:val="24"/>
          <w:szCs w:val="24"/>
        </w:rPr>
        <w:t>[   ] Так</w:t>
      </w:r>
    </w:p>
    <w:p w14:paraId="7F0B0534" w14:textId="459E045F" w:rsidR="008C574A" w:rsidRPr="005A38A6" w:rsidRDefault="008C574A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1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652"/>
        <w:gridCol w:w="3379"/>
        <w:gridCol w:w="3379"/>
      </w:tblGrid>
      <w:tr w:rsidR="00882656" w:rsidRPr="005A38A6" w14:paraId="598EB024" w14:textId="77777777" w:rsidTr="00111EB4">
        <w:trPr>
          <w:trHeight w:val="1731"/>
        </w:trPr>
        <w:tc>
          <w:tcPr>
            <w:tcW w:w="3652" w:type="dxa"/>
          </w:tcPr>
          <w:p w14:paraId="496C95A6" w14:textId="77777777" w:rsidR="00C25063" w:rsidRPr="005A38A6" w:rsidRDefault="00C25063" w:rsidP="00111EB4">
            <w:pP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Керівник</w:t>
            </w:r>
          </w:p>
          <w:p w14:paraId="65B5DC31" w14:textId="77777777" w:rsidR="00C25063" w:rsidRPr="005A38A6" w:rsidRDefault="00C25063" w:rsidP="00111EB4">
            <w:pP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учасника Конкурсу</w:t>
            </w:r>
          </w:p>
          <w:p w14:paraId="0CCD2A4E" w14:textId="77777777" w:rsidR="00C25063" w:rsidRPr="005A38A6" w:rsidRDefault="00C25063" w:rsidP="00111EB4">
            <w:pPr>
              <w:widowControl w:val="0"/>
              <w:spacing w:line="240" w:lineRule="auto"/>
              <w:ind w:left="1" w:hanging="3"/>
            </w:pPr>
            <w:r w:rsidRPr="005A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 xml:space="preserve">                (посада)</w:t>
            </w:r>
            <w:r w:rsidRPr="005A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ab/>
            </w:r>
          </w:p>
          <w:p w14:paraId="35DCB865" w14:textId="77777777" w:rsidR="00C25063" w:rsidRPr="005A38A6" w:rsidRDefault="00C25063" w:rsidP="00111EB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9" w:type="dxa"/>
          </w:tcPr>
          <w:p w14:paraId="6F9ACE29" w14:textId="77777777" w:rsidR="00C25063" w:rsidRPr="005A38A6" w:rsidRDefault="00C25063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E3E213" w14:textId="77777777" w:rsidR="00C25063" w:rsidRPr="005A38A6" w:rsidRDefault="00C25063" w:rsidP="00111EB4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</w:rPr>
              <w:t>_____________________</w:t>
            </w:r>
            <w:r w:rsidRPr="005A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 xml:space="preserve">                                           (підпис)</w:t>
            </w:r>
          </w:p>
        </w:tc>
        <w:tc>
          <w:tcPr>
            <w:tcW w:w="3379" w:type="dxa"/>
          </w:tcPr>
          <w:p w14:paraId="6164AB06" w14:textId="77777777" w:rsidR="00C25063" w:rsidRPr="005A38A6" w:rsidRDefault="00C25063" w:rsidP="00111EB4">
            <w:pPr>
              <w:spacing w:line="240" w:lineRule="auto"/>
              <w:ind w:left="0" w:right="80"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6E01E0E4" w14:textId="77777777" w:rsidR="00C25063" w:rsidRPr="005A38A6" w:rsidRDefault="00C25063" w:rsidP="00111EB4">
            <w:pPr>
              <w:spacing w:line="240" w:lineRule="auto"/>
              <w:ind w:left="0" w:right="80" w:hanging="2"/>
              <w:rPr>
                <w:rFonts w:ascii="Times New Roman" w:eastAsia="Times New Roman" w:hAnsi="Times New Roman" w:cs="Times New Roman"/>
                <w:b/>
              </w:rPr>
            </w:pPr>
            <w:r w:rsidRPr="005A38A6">
              <w:rPr>
                <w:rFonts w:ascii="Times New Roman" w:eastAsia="Times New Roman" w:hAnsi="Times New Roman" w:cs="Times New Roman"/>
                <w:b/>
              </w:rPr>
              <w:t>_____________________</w:t>
            </w:r>
          </w:p>
          <w:p w14:paraId="591D7141" w14:textId="77777777" w:rsidR="00C25063" w:rsidRPr="005A38A6" w:rsidRDefault="00C25063" w:rsidP="00111EB4">
            <w:pPr>
              <w:spacing w:line="240" w:lineRule="auto"/>
              <w:ind w:left="1" w:right="80" w:hanging="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perscript"/>
              </w:rPr>
            </w:pPr>
            <w:r w:rsidRPr="005A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>(Ім’я ПРІЗВИЩЕ)</w:t>
            </w:r>
          </w:p>
        </w:tc>
      </w:tr>
      <w:tr w:rsidR="00882656" w:rsidRPr="00882656" w14:paraId="7269175F" w14:textId="77777777" w:rsidTr="00111EB4">
        <w:tc>
          <w:tcPr>
            <w:tcW w:w="3652" w:type="dxa"/>
          </w:tcPr>
          <w:p w14:paraId="520833A3" w14:textId="77777777" w:rsidR="00C25063" w:rsidRPr="005A38A6" w:rsidRDefault="00C25063" w:rsidP="00111EB4">
            <w:pP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Науковий керівник НТР</w:t>
            </w:r>
          </w:p>
          <w:p w14:paraId="1FB1D6E6" w14:textId="77777777" w:rsidR="00C25063" w:rsidRPr="005A38A6" w:rsidRDefault="00C25063" w:rsidP="00111EB4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</w:rPr>
            </w:pPr>
            <w:r w:rsidRPr="005A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 xml:space="preserve">                (посада)</w:t>
            </w:r>
            <w:r w:rsidRPr="005A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ab/>
            </w:r>
          </w:p>
          <w:p w14:paraId="048DF180" w14:textId="77777777" w:rsidR="00C25063" w:rsidRPr="005A38A6" w:rsidRDefault="00C25063" w:rsidP="00111EB4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3379" w:type="dxa"/>
          </w:tcPr>
          <w:p w14:paraId="54767AF7" w14:textId="77777777" w:rsidR="00C25063" w:rsidRPr="005A38A6" w:rsidRDefault="00C25063" w:rsidP="00111EB4">
            <w:pPr>
              <w:spacing w:line="240" w:lineRule="auto"/>
              <w:ind w:left="0" w:hanging="2"/>
              <w:jc w:val="center"/>
            </w:pPr>
            <w:r w:rsidRPr="005A38A6">
              <w:rPr>
                <w:rFonts w:ascii="Times New Roman" w:eastAsia="Times New Roman" w:hAnsi="Times New Roman" w:cs="Times New Roman"/>
              </w:rPr>
              <w:t>_____________________</w:t>
            </w:r>
            <w:r w:rsidRPr="005A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 xml:space="preserve">                                           (підпис)</w:t>
            </w:r>
          </w:p>
        </w:tc>
        <w:tc>
          <w:tcPr>
            <w:tcW w:w="3379" w:type="dxa"/>
          </w:tcPr>
          <w:p w14:paraId="605829CC" w14:textId="77777777" w:rsidR="00C25063" w:rsidRPr="005A38A6" w:rsidRDefault="00C25063" w:rsidP="00111EB4">
            <w:pPr>
              <w:spacing w:line="240" w:lineRule="auto"/>
              <w:ind w:left="0" w:right="80" w:hanging="2"/>
              <w:rPr>
                <w:rFonts w:ascii="Times New Roman" w:eastAsia="Times New Roman" w:hAnsi="Times New Roman" w:cs="Times New Roman"/>
                <w:b/>
              </w:rPr>
            </w:pPr>
            <w:r w:rsidRPr="005A38A6">
              <w:rPr>
                <w:rFonts w:ascii="Times New Roman" w:eastAsia="Times New Roman" w:hAnsi="Times New Roman" w:cs="Times New Roman"/>
                <w:b/>
              </w:rPr>
              <w:t>_____________________</w:t>
            </w:r>
          </w:p>
          <w:p w14:paraId="31486FAC" w14:textId="77777777" w:rsidR="00C25063" w:rsidRPr="00882656" w:rsidRDefault="00C25063" w:rsidP="00111EB4">
            <w:pPr>
              <w:spacing w:line="240" w:lineRule="auto"/>
              <w:ind w:left="1" w:right="80" w:hanging="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perscript"/>
              </w:rPr>
            </w:pPr>
            <w:r w:rsidRPr="005A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>(Ім’я ПРІЗВИЩЕ)</w:t>
            </w:r>
          </w:p>
          <w:p w14:paraId="42F0D6ED" w14:textId="77777777" w:rsidR="00C25063" w:rsidRPr="00882656" w:rsidRDefault="00C25063" w:rsidP="00111EB4">
            <w:pPr>
              <w:spacing w:line="240" w:lineRule="auto"/>
              <w:ind w:left="1" w:right="80" w:hanging="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perscript"/>
              </w:rPr>
            </w:pPr>
          </w:p>
          <w:p w14:paraId="2C7219D7" w14:textId="77777777" w:rsidR="00C25063" w:rsidRPr="00882656" w:rsidRDefault="00C25063" w:rsidP="00111EB4">
            <w:pPr>
              <w:spacing w:line="240" w:lineRule="auto"/>
              <w:ind w:left="0" w:right="80" w:hanging="2"/>
              <w:rPr>
                <w:b/>
              </w:rPr>
            </w:pPr>
          </w:p>
          <w:p w14:paraId="30561B7B" w14:textId="77777777" w:rsidR="00C25063" w:rsidRPr="00882656" w:rsidRDefault="00C25063" w:rsidP="00111EB4">
            <w:pPr>
              <w:spacing w:line="240" w:lineRule="auto"/>
              <w:ind w:left="0" w:right="80" w:hanging="2"/>
              <w:rPr>
                <w:b/>
              </w:rPr>
            </w:pPr>
          </w:p>
        </w:tc>
      </w:tr>
    </w:tbl>
    <w:p w14:paraId="5A1A9045" w14:textId="3B0357A7" w:rsidR="00C25063" w:rsidRDefault="00C25063" w:rsidP="008C574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5E825" w14:textId="19C649BC" w:rsidR="008C574A" w:rsidRPr="00882656" w:rsidRDefault="008C574A" w:rsidP="008C574A">
      <w:pPr>
        <w:shd w:val="clear" w:color="auto" w:fill="FFFFFF"/>
        <w:spacing w:line="240" w:lineRule="auto"/>
        <w:ind w:left="0" w:right="40" w:hanging="2"/>
        <w:jc w:val="both"/>
        <w:rPr>
          <w:rFonts w:ascii="Times New Roman" w:eastAsia="Times New Roman" w:hAnsi="Times New Roman" w:cs="Times New Roman"/>
          <w:b/>
          <w:i/>
        </w:rPr>
      </w:pPr>
    </w:p>
    <w:p w14:paraId="000000B8" w14:textId="49542C70" w:rsidR="0030619D" w:rsidRPr="00882656" w:rsidRDefault="0030619D">
      <w:pPr>
        <w:shd w:val="clear" w:color="auto" w:fill="FFFFFF"/>
        <w:spacing w:line="240" w:lineRule="auto"/>
        <w:ind w:left="0" w:right="38" w:hanging="2"/>
        <w:jc w:val="both"/>
        <w:rPr>
          <w:rFonts w:ascii="Times New Roman" w:eastAsia="Times New Roman" w:hAnsi="Times New Roman" w:cs="Times New Roman"/>
          <w:b/>
          <w:i/>
        </w:rPr>
      </w:pPr>
    </w:p>
    <w:sectPr w:rsidR="0030619D" w:rsidRPr="00882656" w:rsidSect="00285B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680" w:bottom="1134" w:left="1275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FF61" w14:textId="77777777" w:rsidR="0078796F" w:rsidRDefault="0078796F">
      <w:pPr>
        <w:spacing w:line="240" w:lineRule="auto"/>
        <w:ind w:left="0" w:hanging="2"/>
      </w:pPr>
      <w:r>
        <w:separator/>
      </w:r>
    </w:p>
  </w:endnote>
  <w:endnote w:type="continuationSeparator" w:id="0">
    <w:p w14:paraId="5124E0E0" w14:textId="77777777" w:rsidR="0078796F" w:rsidRDefault="0078796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20B060402020202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-Ukraine">
    <w:altName w:val="Times New Roman"/>
    <w:panose1 w:val="00000500000000000000"/>
    <w:charset w:val="4D"/>
    <w:family w:val="auto"/>
    <w:pitch w:val="variable"/>
    <w:sig w:usb0="000000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A63A" w14:textId="77777777" w:rsidR="005376E0" w:rsidRDefault="005376E0">
    <w:pP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FA52" w14:textId="77777777" w:rsidR="005376E0" w:rsidRDefault="005376E0">
    <w:pP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B91B" w14:textId="77777777" w:rsidR="005376E0" w:rsidRDefault="005376E0">
    <w:pP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0853" w14:textId="77777777" w:rsidR="0078796F" w:rsidRDefault="0078796F">
      <w:pPr>
        <w:spacing w:line="240" w:lineRule="auto"/>
        <w:ind w:left="0" w:hanging="2"/>
      </w:pPr>
      <w:r>
        <w:separator/>
      </w:r>
    </w:p>
  </w:footnote>
  <w:footnote w:type="continuationSeparator" w:id="0">
    <w:p w14:paraId="40AC67A2" w14:textId="77777777" w:rsidR="0078796F" w:rsidRDefault="0078796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D72B" w14:textId="77777777" w:rsidR="005376E0" w:rsidRDefault="005376E0">
    <w:pP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BB06" w14:textId="73DBC4B0" w:rsidR="005376E0" w:rsidRDefault="005376E0">
    <w:pPr>
      <w:tabs>
        <w:tab w:val="center" w:pos="4677"/>
        <w:tab w:val="right" w:pos="9355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D01660">
      <w:rPr>
        <w:rFonts w:ascii="Times New Roman" w:eastAsia="Times New Roman" w:hAnsi="Times New Roman" w:cs="Times New Roman"/>
        <w:noProof/>
        <w:color w:val="000000"/>
        <w:sz w:val="20"/>
        <w:szCs w:val="20"/>
      </w:rPr>
      <w:t>8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58C7" w14:textId="77777777" w:rsidR="005376E0" w:rsidRDefault="005376E0">
    <w:pP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C5463"/>
    <w:multiLevelType w:val="multilevel"/>
    <w:tmpl w:val="484CE204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776671"/>
    <w:multiLevelType w:val="multilevel"/>
    <w:tmpl w:val="8FB8F6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CB532E3"/>
    <w:multiLevelType w:val="multilevel"/>
    <w:tmpl w:val="DC72C5C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3E60B8E"/>
    <w:multiLevelType w:val="multilevel"/>
    <w:tmpl w:val="E91A3E18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06A62A4"/>
    <w:multiLevelType w:val="multilevel"/>
    <w:tmpl w:val="A3521054"/>
    <w:lvl w:ilvl="0">
      <w:start w:val="3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 w16cid:durableId="190454943">
    <w:abstractNumId w:val="1"/>
  </w:num>
  <w:num w:numId="2" w16cid:durableId="1706059854">
    <w:abstractNumId w:val="2"/>
  </w:num>
  <w:num w:numId="3" w16cid:durableId="2051418930">
    <w:abstractNumId w:val="3"/>
  </w:num>
  <w:num w:numId="4" w16cid:durableId="525607026">
    <w:abstractNumId w:val="0"/>
  </w:num>
  <w:num w:numId="5" w16cid:durableId="1337465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9D"/>
    <w:rsid w:val="00023C63"/>
    <w:rsid w:val="000A1870"/>
    <w:rsid w:val="000C0E35"/>
    <w:rsid w:val="00111EB4"/>
    <w:rsid w:val="00113200"/>
    <w:rsid w:val="00170920"/>
    <w:rsid w:val="00186C6F"/>
    <w:rsid w:val="00196B6D"/>
    <w:rsid w:val="001F63C9"/>
    <w:rsid w:val="00285BAD"/>
    <w:rsid w:val="00294BDA"/>
    <w:rsid w:val="002C2397"/>
    <w:rsid w:val="002E5AF7"/>
    <w:rsid w:val="0030619D"/>
    <w:rsid w:val="003666ED"/>
    <w:rsid w:val="00393C2F"/>
    <w:rsid w:val="00406B90"/>
    <w:rsid w:val="00412068"/>
    <w:rsid w:val="00423A25"/>
    <w:rsid w:val="004B3039"/>
    <w:rsid w:val="004C7019"/>
    <w:rsid w:val="004D2769"/>
    <w:rsid w:val="004F6807"/>
    <w:rsid w:val="005376E0"/>
    <w:rsid w:val="0056124E"/>
    <w:rsid w:val="00563BBE"/>
    <w:rsid w:val="005A2EE9"/>
    <w:rsid w:val="005A38A6"/>
    <w:rsid w:val="005D06DB"/>
    <w:rsid w:val="00616B4B"/>
    <w:rsid w:val="006567CA"/>
    <w:rsid w:val="006958FE"/>
    <w:rsid w:val="006E1687"/>
    <w:rsid w:val="006E5BE7"/>
    <w:rsid w:val="00716B71"/>
    <w:rsid w:val="0078796F"/>
    <w:rsid w:val="007B24ED"/>
    <w:rsid w:val="008037F1"/>
    <w:rsid w:val="0085249F"/>
    <w:rsid w:val="00882656"/>
    <w:rsid w:val="008C574A"/>
    <w:rsid w:val="008C57EE"/>
    <w:rsid w:val="00941BA0"/>
    <w:rsid w:val="009439FF"/>
    <w:rsid w:val="00996641"/>
    <w:rsid w:val="009A3381"/>
    <w:rsid w:val="009B0B71"/>
    <w:rsid w:val="009C3C60"/>
    <w:rsid w:val="009D2FE4"/>
    <w:rsid w:val="009F3422"/>
    <w:rsid w:val="00A00C87"/>
    <w:rsid w:val="00A34EE5"/>
    <w:rsid w:val="00A43467"/>
    <w:rsid w:val="00AA676D"/>
    <w:rsid w:val="00AB02A3"/>
    <w:rsid w:val="00B353AF"/>
    <w:rsid w:val="00B45D41"/>
    <w:rsid w:val="00B5775A"/>
    <w:rsid w:val="00B82867"/>
    <w:rsid w:val="00C12B96"/>
    <w:rsid w:val="00C237E3"/>
    <w:rsid w:val="00C25063"/>
    <w:rsid w:val="00C72773"/>
    <w:rsid w:val="00CE292B"/>
    <w:rsid w:val="00D01660"/>
    <w:rsid w:val="00D07DA7"/>
    <w:rsid w:val="00D247B5"/>
    <w:rsid w:val="00D25EDC"/>
    <w:rsid w:val="00D33484"/>
    <w:rsid w:val="00DB544D"/>
    <w:rsid w:val="00E25E9D"/>
    <w:rsid w:val="00E44656"/>
    <w:rsid w:val="00E53752"/>
    <w:rsid w:val="00E97186"/>
    <w:rsid w:val="00FB7997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E12652"/>
  <w15:docId w15:val="{89876234-3365-4081-A09D-F9C09D4E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422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Звичайний1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val="ru-RU"/>
    </w:rPr>
  </w:style>
  <w:style w:type="paragraph" w:styleId="FootnoteText">
    <w:name w:val="footnote text"/>
    <w:next w:val="Normal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EndnoteText">
    <w:name w:val="endnote text"/>
    <w:next w:val="Normal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10">
    <w:name w:val="Основний текст1"/>
    <w:basedOn w:val="1"/>
    <w:pPr>
      <w:jc w:val="both"/>
    </w:pPr>
    <w:rPr>
      <w:sz w:val="28"/>
      <w:lang w:val="uk-UA"/>
    </w:rPr>
  </w:style>
  <w:style w:type="paragraph" w:customStyle="1" w:styleId="21">
    <w:name w:val="Основний текст з відступом 21"/>
    <w:basedOn w:val="1"/>
    <w:pPr>
      <w:spacing w:after="120" w:line="480" w:lineRule="auto"/>
      <w:ind w:left="283"/>
    </w:pPr>
    <w:rPr>
      <w:sz w:val="24"/>
    </w:rPr>
  </w:style>
  <w:style w:type="paragraph" w:customStyle="1" w:styleId="11">
    <w:name w:val="Основний текст з відступом1"/>
    <w:basedOn w:val="1"/>
    <w:pPr>
      <w:spacing w:after="120"/>
      <w:ind w:left="283"/>
    </w:pPr>
  </w:style>
  <w:style w:type="paragraph" w:customStyle="1" w:styleId="HTML1">
    <w:name w:val="Стандартний HTML1"/>
    <w:basedOn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8"/>
    </w:rPr>
  </w:style>
  <w:style w:type="paragraph" w:customStyle="1" w:styleId="12">
    <w:name w:val="Текст у виносці1"/>
    <w:basedOn w:val="1"/>
    <w:rPr>
      <w:rFonts w:ascii="Tahoma" w:eastAsia="Tahoma" w:hAnsi="Tahoma"/>
      <w:sz w:val="16"/>
    </w:rPr>
  </w:style>
  <w:style w:type="paragraph" w:customStyle="1" w:styleId="13">
    <w:name w:val="Звичайний (веб)1"/>
    <w:basedOn w:val="1"/>
    <w:pPr>
      <w:spacing w:before="100" w:beforeAutospacing="1" w:after="100" w:afterAutospacing="1"/>
    </w:pPr>
    <w:rPr>
      <w:sz w:val="24"/>
    </w:rPr>
  </w:style>
  <w:style w:type="paragraph" w:customStyle="1" w:styleId="14">
    <w:name w:val="Верхній колонтитул1"/>
    <w:basedOn w:val="1"/>
    <w:pPr>
      <w:tabs>
        <w:tab w:val="center" w:pos="4677"/>
        <w:tab w:val="right" w:pos="9355"/>
      </w:tabs>
    </w:pPr>
  </w:style>
  <w:style w:type="paragraph" w:customStyle="1" w:styleId="15">
    <w:name w:val="Нижній колонтитул1"/>
    <w:basedOn w:val="1"/>
    <w:pPr>
      <w:tabs>
        <w:tab w:val="center" w:pos="4677"/>
        <w:tab w:val="right" w:pos="9355"/>
      </w:tabs>
    </w:pPr>
  </w:style>
  <w:style w:type="paragraph" w:customStyle="1" w:styleId="rvps2">
    <w:name w:val="rvps2"/>
    <w:basedOn w:val="1"/>
    <w:pPr>
      <w:spacing w:before="100" w:beforeAutospacing="1" w:after="100" w:afterAutospacing="1"/>
    </w:pPr>
    <w:rPr>
      <w:sz w:val="24"/>
      <w:lang w:val="uk-UA"/>
    </w:rPr>
  </w:style>
  <w:style w:type="paragraph" w:customStyle="1" w:styleId="a">
    <w:name w:val="Нормальний текст"/>
    <w:basedOn w:val="1"/>
    <w:pPr>
      <w:spacing w:before="120"/>
      <w:ind w:firstLine="567"/>
    </w:pPr>
    <w:rPr>
      <w:rFonts w:ascii="Antiqua" w:eastAsia="Antiqua" w:hAnsi="Antiqua"/>
      <w:sz w:val="26"/>
      <w:lang w:val="uk-UA"/>
    </w:rPr>
  </w:style>
  <w:style w:type="character" w:styleId="LineNumber">
    <w:name w:val="line number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0">
    <w:name w:val="Основний текст Знак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2">
    <w:name w:val="Основний текст з відступом 2 Знак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1">
    <w:name w:val="Основний текст з відступом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HTML">
    <w:name w:val="Стандартний HTML Знак"/>
    <w:rPr>
      <w:rFonts w:ascii="Courier New" w:eastAsia="Courier New" w:hAnsi="Courier New"/>
      <w:color w:val="00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2">
    <w:name w:val="Текст у виносці Знак"/>
    <w:rPr>
      <w:rFonts w:ascii="Tahoma" w:eastAsia="Tahoma" w:hAnsi="Tahoma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6">
    <w:name w:val="Гіперпосилання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3">
    <w:name w:val="Верхній колонтитул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Нижній колонтитул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TextChar">
    <w:name w:val="Footnote Text Char"/>
    <w:rPr>
      <w:w w:val="100"/>
      <w:position w:val="-1"/>
      <w:sz w:val="20"/>
      <w:effect w:val="none"/>
      <w:vertAlign w:val="baseline"/>
      <w:cs w:val="0"/>
      <w:em w:val="none"/>
    </w:rPr>
  </w:style>
  <w:style w:type="character" w:styleId="EndnoteReference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TextChar">
    <w:name w:val="Endnote Text Char"/>
    <w:rPr>
      <w:w w:val="100"/>
      <w:position w:val="-1"/>
      <w:sz w:val="20"/>
      <w:effect w:val="none"/>
      <w:vertAlign w:val="baseline"/>
      <w:cs w:val="0"/>
      <w:em w:val="none"/>
    </w:rPr>
  </w:style>
  <w:style w:type="table" w:styleId="TableSimple1">
    <w:name w:val="Table Simple 1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Звичайна таблиця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160" w:line="259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pPr>
      <w:spacing w:after="160" w:line="259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pPr>
      <w:spacing w:after="160" w:line="259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pPr>
      <w:spacing w:after="160" w:line="259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pPr>
      <w:spacing w:after="160" w:line="259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pPr>
      <w:spacing w:after="160" w:line="259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pPr>
      <w:spacing w:after="160" w:line="259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pPr>
      <w:spacing w:after="160" w:line="259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160" w:line="259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pPr>
      <w:spacing w:after="160" w:line="259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pPr>
      <w:spacing w:after="160" w:line="259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pPr>
      <w:spacing w:after="160" w:line="259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pPr>
      <w:spacing w:after="160" w:line="259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128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128"/>
    <w:rPr>
      <w:position w:val="-1"/>
      <w:sz w:val="22"/>
    </w:rPr>
  </w:style>
  <w:style w:type="paragraph" w:styleId="Footer">
    <w:name w:val="footer"/>
    <w:basedOn w:val="Normal"/>
    <w:link w:val="FooterChar"/>
    <w:uiPriority w:val="99"/>
    <w:unhideWhenUsed/>
    <w:rsid w:val="009A7128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128"/>
    <w:rPr>
      <w:position w:val="-1"/>
      <w:sz w:val="22"/>
    </w:rPr>
  </w:style>
  <w:style w:type="character" w:customStyle="1" w:styleId="18">
    <w:name w:val="Неразрешенное упоминание1"/>
    <w:basedOn w:val="DefaultParagraphFont"/>
    <w:uiPriority w:val="99"/>
    <w:semiHidden/>
    <w:unhideWhenUsed/>
    <w:rsid w:val="009A71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7A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0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0E8"/>
    <w:rPr>
      <w:rFonts w:ascii="Segoe UI" w:hAnsi="Segoe UI" w:cs="Segoe UI"/>
      <w:position w:val="-1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6ED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6ED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8-2018-%D0%B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36HI5lPSuC2+kZQfg/NCLFBphw==">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3471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Klesova</dc:creator>
  <cp:lastModifiedBy>Serhii Zharinov</cp:lastModifiedBy>
  <cp:revision>39</cp:revision>
  <cp:lastPrinted>2025-06-17T12:22:00Z</cp:lastPrinted>
  <dcterms:created xsi:type="dcterms:W3CDTF">2024-06-06T13:35:00Z</dcterms:created>
  <dcterms:modified xsi:type="dcterms:W3CDTF">2025-10-23T10:02:00Z</dcterms:modified>
</cp:coreProperties>
</file>