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A866" w14:textId="77777777" w:rsidR="00CA05D6" w:rsidRPr="00B6788F" w:rsidRDefault="002E1C3B">
      <w:pPr>
        <w:spacing w:after="0" w:line="240" w:lineRule="auto"/>
        <w:ind w:left="9639"/>
        <w:rPr>
          <w:rFonts w:ascii="Times New Roman" w:eastAsia="Times New Roman" w:hAnsi="Times New Roman" w:cs="Times New Roman"/>
          <w:sz w:val="26"/>
          <w:szCs w:val="26"/>
        </w:rPr>
      </w:pPr>
      <w:r w:rsidRPr="00B6788F">
        <w:rPr>
          <w:rFonts w:ascii="Times New Roman" w:eastAsia="Times New Roman" w:hAnsi="Times New Roman" w:cs="Times New Roman"/>
          <w:b/>
          <w:color w:val="000000"/>
          <w:sz w:val="26"/>
          <w:szCs w:val="26"/>
        </w:rPr>
        <w:t>ЗАТВЕРДЖЕНО</w:t>
      </w:r>
    </w:p>
    <w:p w14:paraId="701B01D5" w14:textId="77777777" w:rsidR="00CA05D6" w:rsidRPr="00B6788F" w:rsidRDefault="002E1C3B">
      <w:pPr>
        <w:spacing w:after="0" w:line="240" w:lineRule="auto"/>
        <w:ind w:left="9639"/>
        <w:rPr>
          <w:rFonts w:ascii="Times New Roman" w:eastAsia="Times New Roman" w:hAnsi="Times New Roman" w:cs="Times New Roman"/>
          <w:sz w:val="26"/>
          <w:szCs w:val="26"/>
        </w:rPr>
      </w:pPr>
      <w:r w:rsidRPr="00B6788F">
        <w:rPr>
          <w:rFonts w:ascii="Times New Roman" w:eastAsia="Times New Roman" w:hAnsi="Times New Roman" w:cs="Times New Roman"/>
          <w:b/>
          <w:color w:val="000000"/>
          <w:sz w:val="26"/>
          <w:szCs w:val="26"/>
        </w:rPr>
        <w:t>Наказ Міністерства освіти і науки України </w:t>
      </w:r>
    </w:p>
    <w:p w14:paraId="57222BBC" w14:textId="77777777" w:rsidR="00CA05D6" w:rsidRPr="00B6788F" w:rsidRDefault="00C32446">
      <w:pPr>
        <w:spacing w:after="0" w:line="240" w:lineRule="auto"/>
        <w:ind w:left="9639"/>
        <w:rPr>
          <w:rFonts w:ascii="Times New Roman" w:eastAsia="Times New Roman" w:hAnsi="Times New Roman" w:cs="Times New Roman"/>
          <w:sz w:val="26"/>
          <w:szCs w:val="26"/>
        </w:rPr>
      </w:pPr>
      <w:r w:rsidRPr="00B6788F">
        <w:rPr>
          <w:rFonts w:ascii="Times New Roman" w:eastAsia="Times New Roman" w:hAnsi="Times New Roman" w:cs="Times New Roman"/>
          <w:b/>
          <w:color w:val="000000"/>
          <w:sz w:val="26"/>
          <w:szCs w:val="26"/>
        </w:rPr>
        <w:t>06.06.</w:t>
      </w:r>
      <w:r w:rsidR="002E1C3B" w:rsidRPr="00B6788F">
        <w:rPr>
          <w:rFonts w:ascii="Times New Roman" w:eastAsia="Times New Roman" w:hAnsi="Times New Roman" w:cs="Times New Roman"/>
          <w:b/>
          <w:color w:val="000000"/>
          <w:sz w:val="26"/>
          <w:szCs w:val="26"/>
        </w:rPr>
        <w:t>2024 №</w:t>
      </w:r>
      <w:r w:rsidRPr="00B6788F">
        <w:rPr>
          <w:rFonts w:ascii="Times New Roman" w:eastAsia="Times New Roman" w:hAnsi="Times New Roman" w:cs="Times New Roman"/>
          <w:b/>
          <w:color w:val="000000"/>
          <w:sz w:val="26"/>
          <w:szCs w:val="26"/>
        </w:rPr>
        <w:t>807</w:t>
      </w:r>
    </w:p>
    <w:p w14:paraId="54F49F97" w14:textId="77777777" w:rsidR="00CA05D6" w:rsidRPr="00B6788F" w:rsidRDefault="00CA05D6">
      <w:pPr>
        <w:spacing w:after="0" w:line="240" w:lineRule="auto"/>
        <w:rPr>
          <w:rFonts w:ascii="Times New Roman" w:eastAsia="Times New Roman" w:hAnsi="Times New Roman" w:cs="Times New Roman"/>
          <w:sz w:val="26"/>
          <w:szCs w:val="26"/>
        </w:rPr>
      </w:pPr>
    </w:p>
    <w:p w14:paraId="479B4AF5" w14:textId="77777777" w:rsidR="00CA05D6" w:rsidRPr="00B6788F" w:rsidRDefault="002E1C3B">
      <w:pPr>
        <w:spacing w:after="0" w:line="240" w:lineRule="auto"/>
        <w:jc w:val="center"/>
        <w:rPr>
          <w:rFonts w:ascii="Times New Roman" w:eastAsia="Times New Roman" w:hAnsi="Times New Roman" w:cs="Times New Roman"/>
          <w:sz w:val="26"/>
          <w:szCs w:val="26"/>
        </w:rPr>
      </w:pPr>
      <w:r w:rsidRPr="00B6788F">
        <w:rPr>
          <w:rFonts w:ascii="Times New Roman" w:eastAsia="Times New Roman" w:hAnsi="Times New Roman" w:cs="Times New Roman"/>
          <w:b/>
          <w:smallCaps/>
          <w:color w:val="000000"/>
          <w:sz w:val="26"/>
          <w:szCs w:val="26"/>
        </w:rPr>
        <w:t>ПРІОРИТЕТНА ТЕМАТИКА, </w:t>
      </w:r>
    </w:p>
    <w:p w14:paraId="2B977072" w14:textId="77777777" w:rsidR="00CA05D6" w:rsidRPr="00B6788F" w:rsidRDefault="002E1C3B">
      <w:pPr>
        <w:spacing w:after="0" w:line="240" w:lineRule="auto"/>
        <w:jc w:val="center"/>
        <w:rPr>
          <w:rFonts w:ascii="Times New Roman" w:eastAsia="Times New Roman" w:hAnsi="Times New Roman" w:cs="Times New Roman"/>
          <w:b/>
          <w:sz w:val="26"/>
          <w:szCs w:val="26"/>
        </w:rPr>
      </w:pPr>
      <w:bookmarkStart w:id="0" w:name="_heading=h.30j0zll" w:colFirst="0" w:colLast="0"/>
      <w:bookmarkEnd w:id="0"/>
      <w:r w:rsidRPr="00B6788F">
        <w:rPr>
          <w:rFonts w:ascii="Times New Roman" w:eastAsia="Times New Roman" w:hAnsi="Times New Roman" w:cs="Times New Roman"/>
          <w:b/>
          <w:sz w:val="26"/>
          <w:szCs w:val="26"/>
        </w:rPr>
        <w:t>за якою буде здійснюватися державне замовлення на науково-технічні (експериментальні) розробки</w:t>
      </w:r>
    </w:p>
    <w:p w14:paraId="6BC19E47" w14:textId="77777777" w:rsidR="00CA05D6" w:rsidRPr="00B6788F" w:rsidRDefault="002E1C3B">
      <w:pPr>
        <w:spacing w:after="0" w:line="240" w:lineRule="auto"/>
        <w:jc w:val="center"/>
        <w:rPr>
          <w:rFonts w:ascii="Times New Roman" w:eastAsia="Times New Roman" w:hAnsi="Times New Roman" w:cs="Times New Roman"/>
          <w:b/>
          <w:sz w:val="26"/>
          <w:szCs w:val="26"/>
        </w:rPr>
      </w:pPr>
      <w:r w:rsidRPr="00B6788F">
        <w:rPr>
          <w:rFonts w:ascii="Times New Roman" w:eastAsia="Times New Roman" w:hAnsi="Times New Roman" w:cs="Times New Roman"/>
          <w:b/>
          <w:sz w:val="26"/>
          <w:szCs w:val="26"/>
        </w:rPr>
        <w:t>та науково-технічну продукцію у 2024-2025 роках</w:t>
      </w:r>
    </w:p>
    <w:p w14:paraId="7DE1F3F7" w14:textId="77777777" w:rsidR="00CA05D6" w:rsidRPr="00B6788F" w:rsidRDefault="00CA05D6">
      <w:pPr>
        <w:spacing w:after="0" w:line="240" w:lineRule="auto"/>
        <w:rPr>
          <w:rFonts w:ascii="Times New Roman" w:eastAsia="Times New Roman" w:hAnsi="Times New Roman" w:cs="Times New Roman"/>
          <w:b/>
          <w:sz w:val="26"/>
          <w:szCs w:val="26"/>
        </w:rPr>
      </w:pPr>
    </w:p>
    <w:tbl>
      <w:tblPr>
        <w:tblStyle w:val="af8"/>
        <w:tblpPr w:leftFromText="180" w:rightFromText="180" w:vertAnchor="text" w:tblpX="-318" w:tblpY="1"/>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4013"/>
        <w:gridCol w:w="11057"/>
      </w:tblGrid>
      <w:tr w:rsidR="00CA05D6" w:rsidRPr="00B6788F" w14:paraId="55C4CB28" w14:textId="77777777">
        <w:trPr>
          <w:cantSplit/>
          <w:tblHeader/>
        </w:trPr>
        <w:tc>
          <w:tcPr>
            <w:tcW w:w="660" w:type="dxa"/>
          </w:tcPr>
          <w:p w14:paraId="60593367"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w:t>
            </w:r>
          </w:p>
          <w:p w14:paraId="5915ED2E"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з/п</w:t>
            </w:r>
          </w:p>
        </w:tc>
        <w:tc>
          <w:tcPr>
            <w:tcW w:w="4013" w:type="dxa"/>
          </w:tcPr>
          <w:p w14:paraId="3938D3BB"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Назва пріоритетної тематики</w:t>
            </w:r>
          </w:p>
        </w:tc>
        <w:tc>
          <w:tcPr>
            <w:tcW w:w="11057" w:type="dxa"/>
            <w:tcBorders>
              <w:left w:val="single" w:sz="4" w:space="0" w:color="000000"/>
            </w:tcBorders>
          </w:tcPr>
          <w:p w14:paraId="541F747D"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Короткий опис</w:t>
            </w:r>
          </w:p>
        </w:tc>
      </w:tr>
      <w:tr w:rsidR="00CA05D6" w:rsidRPr="00B6788F" w14:paraId="548B1BFE" w14:textId="77777777">
        <w:trPr>
          <w:trHeight w:val="240"/>
        </w:trPr>
        <w:tc>
          <w:tcPr>
            <w:tcW w:w="15730" w:type="dxa"/>
            <w:gridSpan w:val="3"/>
            <w:tcBorders>
              <w:right w:val="single" w:sz="4" w:space="0" w:color="000000"/>
            </w:tcBorders>
            <w:shd w:val="clear" w:color="auto" w:fill="FFFFFF"/>
          </w:tcPr>
          <w:p w14:paraId="79B29F02" w14:textId="77777777" w:rsidR="00CA05D6" w:rsidRPr="00B6788F" w:rsidRDefault="002E1C3B">
            <w:pPr>
              <w:shd w:val="clear" w:color="auto" w:fill="FFFFFF"/>
              <w:jc w:val="center"/>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b/>
                <w:i/>
                <w:color w:val="0D0D0D"/>
                <w:sz w:val="26"/>
                <w:szCs w:val="26"/>
              </w:rPr>
              <w:t>Міністерство енергетики України</w:t>
            </w:r>
          </w:p>
        </w:tc>
      </w:tr>
      <w:tr w:rsidR="00CA05D6" w:rsidRPr="00B6788F" w14:paraId="7D1EAE8C" w14:textId="77777777">
        <w:trPr>
          <w:trHeight w:val="1411"/>
        </w:trPr>
        <w:tc>
          <w:tcPr>
            <w:tcW w:w="660" w:type="dxa"/>
          </w:tcPr>
          <w:p w14:paraId="77BDBA4F"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w:t>
            </w:r>
          </w:p>
        </w:tc>
        <w:tc>
          <w:tcPr>
            <w:tcW w:w="4013" w:type="dxa"/>
            <w:tcBorders>
              <w:right w:val="single" w:sz="4" w:space="0" w:color="000000"/>
            </w:tcBorders>
          </w:tcPr>
          <w:p w14:paraId="44A15D23"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технології та виготовлення дослідного зразка обладнання з отримання водневого палива з вуглецевмісних середовищ (кам’яного вугілля різного ступеню метаморфізму, шламів тощо)</w:t>
            </w:r>
          </w:p>
        </w:tc>
        <w:tc>
          <w:tcPr>
            <w:tcW w:w="11057" w:type="dxa"/>
          </w:tcPr>
          <w:p w14:paraId="7D7EEBE4"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Розробка та впровадження альтернативних видів палива як одного з чинників забезпечення енергетичної безпеки держави в умовах військової російської агресії проти України та світової енергетичної кризи.</w:t>
            </w:r>
          </w:p>
          <w:p w14:paraId="092C846A"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Одним із найбільш енергоємних та технологічно привабливих енергоносіїв на сьогодні є водень, який можна отримати методами піролізу шахтного метану та пароплазмової газифікації вуглецевмісних середовищ (вугілля різного ступеню метаморфізму, вуглецевмісних відходів, шлаків, золошлаків тощо), які в достатній кількості є на вугільних підприємствах України.</w:t>
            </w:r>
          </w:p>
          <w:p w14:paraId="0BE09048" w14:textId="77777777" w:rsidR="00CA05D6" w:rsidRPr="00B6788F" w:rsidRDefault="002E1C3B">
            <w:pPr>
              <w:shd w:val="clear" w:color="auto" w:fill="FFFFFF"/>
              <w:ind w:firstLine="23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На сьогодні отримання доступних до впровадження технологій з отримання водневого палива є одним з найбільш пріоритетних напрямків в енергетичній галузі України.</w:t>
            </w:r>
          </w:p>
          <w:p w14:paraId="410BCF5B" w14:textId="77777777" w:rsidR="00CA05D6" w:rsidRPr="00B6788F" w:rsidRDefault="002E1C3B">
            <w:pPr>
              <w:shd w:val="clear" w:color="auto" w:fill="FFFFFF"/>
              <w:ind w:firstLine="23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w:t>
            </w:r>
          </w:p>
        </w:tc>
      </w:tr>
      <w:tr w:rsidR="00CA05D6" w:rsidRPr="00B6788F" w14:paraId="1915009F" w14:textId="77777777">
        <w:trPr>
          <w:trHeight w:val="908"/>
        </w:trPr>
        <w:tc>
          <w:tcPr>
            <w:tcW w:w="660" w:type="dxa"/>
          </w:tcPr>
          <w:p w14:paraId="1D1B1E8F"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2.</w:t>
            </w:r>
          </w:p>
        </w:tc>
        <w:tc>
          <w:tcPr>
            <w:tcW w:w="4013" w:type="dxa"/>
          </w:tcPr>
          <w:p w14:paraId="3470046E"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Автоматизований аналіз великих обсягів геолого-промислових даних </w:t>
            </w:r>
          </w:p>
        </w:tc>
        <w:tc>
          <w:tcPr>
            <w:tcW w:w="11057" w:type="dxa"/>
          </w:tcPr>
          <w:p w14:paraId="4866B771"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алгоритмів та методів для швидкого  та ефективного аналізу великих обсягів геолого-промислових даних, включаючи машинне навчання та інші методи інтелектуального аналізу даних.</w:t>
            </w:r>
          </w:p>
          <w:p w14:paraId="27984ED5"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2</w:t>
            </w:r>
          </w:p>
        </w:tc>
      </w:tr>
      <w:tr w:rsidR="00CA05D6" w:rsidRPr="00B6788F" w14:paraId="6954E54C" w14:textId="77777777">
        <w:trPr>
          <w:trHeight w:val="559"/>
        </w:trPr>
        <w:tc>
          <w:tcPr>
            <w:tcW w:w="660" w:type="dxa"/>
          </w:tcPr>
          <w:p w14:paraId="55C592ED"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3.</w:t>
            </w:r>
          </w:p>
        </w:tc>
        <w:tc>
          <w:tcPr>
            <w:tcW w:w="4013" w:type="dxa"/>
          </w:tcPr>
          <w:p w14:paraId="17A26CA9"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Розроблення технологічних засад отримання «зеленого» аміаку на поліметалічних каталізаторах зі згенерованим </w:t>
            </w:r>
            <w:r w:rsidRPr="00B6788F">
              <w:rPr>
                <w:rFonts w:ascii="Times New Roman" w:eastAsia="Times New Roman" w:hAnsi="Times New Roman" w:cs="Times New Roman"/>
                <w:b/>
                <w:color w:val="0D0D0D"/>
                <w:sz w:val="26"/>
                <w:szCs w:val="26"/>
              </w:rPr>
              <w:lastRenderedPageBreak/>
              <w:t>«зеленим» воднем для промислового застосування</w:t>
            </w:r>
          </w:p>
        </w:tc>
        <w:tc>
          <w:tcPr>
            <w:tcW w:w="11057" w:type="dxa"/>
          </w:tcPr>
          <w:p w14:paraId="4D2F4BB6"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Проведення комплексу лабораторних досліджень активності каталізаторів утворення аміаку за реакцією взаємодії азоту (N2), який виділений із повітря та згенерованого водню, з метою зменшення термодинамічних параметрів процесу, а саме, тиску та температури;</w:t>
            </w:r>
          </w:p>
          <w:p w14:paraId="2A78676D"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Встановлення оптимального складу газової суміші для одержання максимального виходу цільового продукту, визначення оптимальної кількості каталізатора для роботи при різних співвідношеннях реакційних газів у лабораторних та промислових умовах.</w:t>
            </w:r>
          </w:p>
          <w:p w14:paraId="6824800F"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та монтаж нової каталітичної установки, обладнаної генератором водню та генератором азоту абсорбційного типу, що розраховані на роботу з високими потужностями газового потоку в умовах, які наближені до промислових.</w:t>
            </w:r>
          </w:p>
          <w:p w14:paraId="5B51B9E1" w14:textId="77777777" w:rsidR="00CA05D6" w:rsidRPr="00B6788F" w:rsidRDefault="002E1C3B">
            <w:pPr>
              <w:shd w:val="clear" w:color="auto" w:fill="FFFFFF"/>
              <w:ind w:firstLine="279"/>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3</w:t>
            </w:r>
          </w:p>
        </w:tc>
      </w:tr>
      <w:tr w:rsidR="00CA05D6" w:rsidRPr="00B6788F" w14:paraId="49315240" w14:textId="77777777">
        <w:trPr>
          <w:trHeight w:val="300"/>
        </w:trPr>
        <w:tc>
          <w:tcPr>
            <w:tcW w:w="15730" w:type="dxa"/>
            <w:gridSpan w:val="3"/>
            <w:tcBorders>
              <w:right w:val="single" w:sz="4" w:space="0" w:color="000000"/>
            </w:tcBorders>
            <w:shd w:val="clear" w:color="auto" w:fill="FFFFFF"/>
          </w:tcPr>
          <w:p w14:paraId="78ED7869" w14:textId="77777777" w:rsidR="00CA05D6" w:rsidRPr="00B6788F" w:rsidRDefault="002E1C3B">
            <w:pPr>
              <w:shd w:val="clear" w:color="auto" w:fill="FFFFFF"/>
              <w:jc w:val="center"/>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b/>
                <w:i/>
                <w:color w:val="0D0D0D"/>
                <w:sz w:val="26"/>
                <w:szCs w:val="26"/>
              </w:rPr>
              <w:lastRenderedPageBreak/>
              <w:t>Міністерство охорони здоров’я України</w:t>
            </w:r>
          </w:p>
        </w:tc>
      </w:tr>
      <w:tr w:rsidR="00CA05D6" w:rsidRPr="00B6788F" w14:paraId="768AD384" w14:textId="77777777">
        <w:trPr>
          <w:trHeight w:val="1469"/>
        </w:trPr>
        <w:tc>
          <w:tcPr>
            <w:tcW w:w="660" w:type="dxa"/>
          </w:tcPr>
          <w:p w14:paraId="042D2FB4"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4.</w:t>
            </w:r>
          </w:p>
        </w:tc>
        <w:tc>
          <w:tcPr>
            <w:tcW w:w="4013" w:type="dxa"/>
            <w:tcBorders>
              <w:right w:val="single" w:sz="4" w:space="0" w:color="000000"/>
            </w:tcBorders>
          </w:tcPr>
          <w:p w14:paraId="548BC6AF"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новітніх ядерно-фізичних методів лікування та діагностики ракових захворювань в Україні</w:t>
            </w:r>
          </w:p>
        </w:tc>
        <w:tc>
          <w:tcPr>
            <w:tcW w:w="11057" w:type="dxa"/>
            <w:tcBorders>
              <w:left w:val="single" w:sz="4" w:space="0" w:color="000000"/>
            </w:tcBorders>
          </w:tcPr>
          <w:p w14:paraId="11520D8E" w14:textId="77777777" w:rsidR="00CA05D6" w:rsidRPr="00B6788F" w:rsidRDefault="002E1C3B">
            <w:pPr>
              <w:shd w:val="clear" w:color="auto" w:fill="FFFFFF"/>
              <w:ind w:firstLine="39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Розвиток новітніх удосконалених методів та протоколів виробництва радіофармпрепаратів, з метою створення ефективних інструментів для діагностики та лікування онкологічних захворювань.</w:t>
            </w:r>
          </w:p>
          <w:p w14:paraId="13DEBC3B" w14:textId="77777777" w:rsidR="00CA05D6" w:rsidRPr="00B6788F" w:rsidRDefault="002E1C3B">
            <w:pPr>
              <w:shd w:val="clear" w:color="auto" w:fill="FFFFFF"/>
              <w:ind w:firstLine="39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методів та протоколів виробництва радіофармпрепаратів на основі ізотопів 99mTc та 131-I, які дозволяють ефективно діагностувати та лікувати онкологічні захворювання.</w:t>
            </w:r>
          </w:p>
          <w:p w14:paraId="62E7ED63" w14:textId="77777777" w:rsidR="00CA05D6" w:rsidRPr="00B6788F" w:rsidRDefault="002E1C3B">
            <w:pPr>
              <w:shd w:val="clear" w:color="auto" w:fill="FFFFFF"/>
              <w:ind w:firstLine="395"/>
              <w:jc w:val="both"/>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4</w:t>
            </w:r>
          </w:p>
        </w:tc>
      </w:tr>
      <w:tr w:rsidR="00CA05D6" w:rsidRPr="00B6788F" w14:paraId="45BED38A" w14:textId="77777777">
        <w:trPr>
          <w:trHeight w:val="1195"/>
        </w:trPr>
        <w:tc>
          <w:tcPr>
            <w:tcW w:w="660" w:type="dxa"/>
          </w:tcPr>
          <w:p w14:paraId="46E16604"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5.</w:t>
            </w:r>
          </w:p>
        </w:tc>
        <w:tc>
          <w:tcPr>
            <w:tcW w:w="4013" w:type="dxa"/>
          </w:tcPr>
          <w:p w14:paraId="5013730E"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персоналізованої теледіагностичної платформи з штучним інтелектом для лікаря та пацієнта</w:t>
            </w:r>
          </w:p>
        </w:tc>
        <w:tc>
          <w:tcPr>
            <w:tcW w:w="11057" w:type="dxa"/>
          </w:tcPr>
          <w:p w14:paraId="1531C47E" w14:textId="77777777" w:rsidR="00CA05D6" w:rsidRPr="00B6788F" w:rsidRDefault="002E1C3B">
            <w:pP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Програмно-апаратний комплекс хмарної теледіагностичної платформи, який включатиме новітню експертну систему для підтримки прийняття рішень за допомогою алгоритмів штучного інтелекту.</w:t>
            </w:r>
          </w:p>
          <w:p w14:paraId="314BD889" w14:textId="77777777" w:rsidR="00CA05D6" w:rsidRPr="00B6788F" w:rsidRDefault="002E1C3B">
            <w:pP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5</w:t>
            </w:r>
          </w:p>
        </w:tc>
      </w:tr>
      <w:tr w:rsidR="00CA05D6" w:rsidRPr="00B6788F" w14:paraId="51F406F9" w14:textId="77777777">
        <w:trPr>
          <w:trHeight w:val="789"/>
        </w:trPr>
        <w:tc>
          <w:tcPr>
            <w:tcW w:w="660" w:type="dxa"/>
          </w:tcPr>
          <w:p w14:paraId="44C631D2"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6.</w:t>
            </w:r>
          </w:p>
        </w:tc>
        <w:tc>
          <w:tcPr>
            <w:tcW w:w="4013" w:type="dxa"/>
          </w:tcPr>
          <w:p w14:paraId="02721338"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методології оцінки та моніторингу стану здоров’я населення та його ключових детермінант для визначення пріоритетних напрямів профілактики та збереження здоров’я</w:t>
            </w:r>
          </w:p>
          <w:p w14:paraId="6D57FB38" w14:textId="77777777" w:rsidR="00CA05D6" w:rsidRPr="00B6788F" w:rsidRDefault="00CA05D6">
            <w:pPr>
              <w:shd w:val="clear" w:color="auto" w:fill="FFFFFF"/>
              <w:jc w:val="both"/>
              <w:rPr>
                <w:rFonts w:ascii="Times New Roman" w:eastAsia="Times New Roman" w:hAnsi="Times New Roman" w:cs="Times New Roman"/>
                <w:b/>
                <w:color w:val="0D0D0D"/>
                <w:sz w:val="26"/>
                <w:szCs w:val="26"/>
              </w:rPr>
            </w:pPr>
          </w:p>
        </w:tc>
        <w:tc>
          <w:tcPr>
            <w:tcW w:w="11057" w:type="dxa"/>
          </w:tcPr>
          <w:p w14:paraId="634D962B" w14:textId="77777777" w:rsidR="00CA05D6" w:rsidRPr="00B6788F" w:rsidRDefault="002E1C3B">
            <w:pPr>
              <w:shd w:val="clear" w:color="auto" w:fill="FFFFFF"/>
              <w:ind w:left="-57" w:right="-57" w:firstLine="33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Надання методологічного підґрунтя для комплексної оцінки стану здоров’я населення та детермінант, що його визначають, як основи для визначення пріоритетів для фінансування державних програм з профілактики та лікування захворювань, раціонального розподілу ресурсів охорони здоров’я та суспільства.</w:t>
            </w:r>
          </w:p>
          <w:p w14:paraId="3286E5EF" w14:textId="77777777" w:rsidR="00CA05D6" w:rsidRPr="00B6788F" w:rsidRDefault="002E1C3B">
            <w:pPr>
              <w:shd w:val="clear" w:color="auto" w:fill="FFFFFF"/>
              <w:ind w:right="80" w:firstLine="33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 xml:space="preserve">Очікується, що впровадження комплексного моніторингу стану здоров’я населення та детермінант на основі розробленої методології дозволить визначати найбільш вагомі проблеми у стані здоров’я населення, а також оцінювати ризики та прогнозувати його можливе погіршення. Це дозволить пріоритизувати використання ресурсів на лікування та профілактику та отримати </w:t>
            </w:r>
            <w:r w:rsidRPr="00B6788F">
              <w:rPr>
                <w:rFonts w:ascii="Times New Roman" w:eastAsia="Times New Roman" w:hAnsi="Times New Roman" w:cs="Times New Roman"/>
                <w:color w:val="0D0D0D"/>
                <w:sz w:val="26"/>
                <w:szCs w:val="26"/>
              </w:rPr>
              <w:lastRenderedPageBreak/>
              <w:t>більше значне збереження та покращення здоров’я населення за рахунок визначення більш вагомих детермінант та станів, які можуть бути контрольовані.</w:t>
            </w:r>
          </w:p>
          <w:p w14:paraId="7C2FD464" w14:textId="77777777" w:rsidR="00CA05D6" w:rsidRPr="00B6788F" w:rsidRDefault="002E1C3B">
            <w:pPr>
              <w:shd w:val="clear" w:color="auto" w:fill="FFFFFF"/>
              <w:ind w:right="80" w:firstLine="33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6</w:t>
            </w:r>
          </w:p>
        </w:tc>
      </w:tr>
      <w:tr w:rsidR="00CA05D6" w:rsidRPr="00B6788F" w14:paraId="6BEFD21F" w14:textId="77777777">
        <w:trPr>
          <w:trHeight w:val="360"/>
        </w:trPr>
        <w:tc>
          <w:tcPr>
            <w:tcW w:w="15730" w:type="dxa"/>
            <w:gridSpan w:val="3"/>
            <w:tcBorders>
              <w:right w:val="single" w:sz="4" w:space="0" w:color="000000"/>
            </w:tcBorders>
            <w:shd w:val="clear" w:color="auto" w:fill="FFFFFF"/>
          </w:tcPr>
          <w:p w14:paraId="19BC6809" w14:textId="77777777" w:rsidR="00CA05D6" w:rsidRPr="00B6788F" w:rsidRDefault="002E1C3B">
            <w:pPr>
              <w:shd w:val="clear" w:color="auto" w:fill="FFFFFF"/>
              <w:jc w:val="center"/>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b/>
                <w:i/>
                <w:color w:val="0D0D0D"/>
                <w:sz w:val="26"/>
                <w:szCs w:val="26"/>
              </w:rPr>
              <w:lastRenderedPageBreak/>
              <w:t>Адміністрація Державної служби спеціального зв'язку та захисту інформації України</w:t>
            </w:r>
          </w:p>
        </w:tc>
      </w:tr>
      <w:tr w:rsidR="00CA05D6" w:rsidRPr="00B6788F" w14:paraId="20C3584F" w14:textId="77777777">
        <w:trPr>
          <w:trHeight w:val="125"/>
        </w:trPr>
        <w:tc>
          <w:tcPr>
            <w:tcW w:w="660" w:type="dxa"/>
          </w:tcPr>
          <w:p w14:paraId="6A5CD995"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7.</w:t>
            </w:r>
          </w:p>
        </w:tc>
        <w:tc>
          <w:tcPr>
            <w:tcW w:w="4013" w:type="dxa"/>
            <w:tcBorders>
              <w:right w:val="single" w:sz="4" w:space="0" w:color="000000"/>
            </w:tcBorders>
          </w:tcPr>
          <w:p w14:paraId="07141FBF"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Керування БПЛА на основі інтелектуального аналізу оптичного зображення</w:t>
            </w:r>
          </w:p>
        </w:tc>
        <w:tc>
          <w:tcPr>
            <w:tcW w:w="11057" w:type="dxa"/>
            <w:tcBorders>
              <w:top w:val="single" w:sz="8" w:space="0" w:color="000000"/>
              <w:left w:val="single" w:sz="8" w:space="0" w:color="000000"/>
              <w:bottom w:val="single" w:sz="4" w:space="0" w:color="000000"/>
              <w:right w:val="single" w:sz="8" w:space="0" w:color="000000"/>
            </w:tcBorders>
            <w:tcMar>
              <w:top w:w="0" w:type="dxa"/>
              <w:left w:w="100" w:type="dxa"/>
              <w:bottom w:w="0" w:type="dxa"/>
              <w:right w:w="100" w:type="dxa"/>
            </w:tcMar>
          </w:tcPr>
          <w:p w14:paraId="2A12841B" w14:textId="77777777" w:rsidR="00CA05D6" w:rsidRPr="00B6788F" w:rsidRDefault="002E1C3B">
            <w:pPr>
              <w:shd w:val="clear" w:color="auto" w:fill="FFFFFF"/>
              <w:ind w:right="80" w:firstLine="32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допоміжного програмного забезпечення для системи керування БПЛА, що виконує функції пошуку та ідентифікації необхідних об’єктів (транспортних засобів, інших БПЛА та інших об’єктів) по оптичному зображенню з відеокамери БПЛА для підсистеми утримання цілі автопілотуванням з метою подальшого виконання завдань, покладених на БПЛА, в разі потреби чи дії РЕБ без застосування радіозв’язку (але з використанням системи позиціонування).</w:t>
            </w:r>
          </w:p>
          <w:p w14:paraId="2362CF9C" w14:textId="77777777" w:rsidR="00CA05D6" w:rsidRPr="00B6788F" w:rsidRDefault="002E1C3B">
            <w:pPr>
              <w:shd w:val="clear" w:color="auto" w:fill="FFFFFF"/>
              <w:ind w:right="80" w:firstLine="32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7</w:t>
            </w:r>
          </w:p>
        </w:tc>
      </w:tr>
      <w:tr w:rsidR="00CA05D6" w:rsidRPr="00B6788F" w14:paraId="330530AC" w14:textId="77777777">
        <w:trPr>
          <w:trHeight w:val="269"/>
        </w:trPr>
        <w:tc>
          <w:tcPr>
            <w:tcW w:w="15730" w:type="dxa"/>
            <w:gridSpan w:val="3"/>
            <w:tcBorders>
              <w:right w:val="single" w:sz="4" w:space="0" w:color="000000"/>
            </w:tcBorders>
            <w:shd w:val="clear" w:color="auto" w:fill="FFFFFF"/>
          </w:tcPr>
          <w:p w14:paraId="011F90DD" w14:textId="77777777" w:rsidR="00CA05D6" w:rsidRPr="00B6788F" w:rsidRDefault="002E1C3B">
            <w:pPr>
              <w:pBdr>
                <w:top w:val="nil"/>
                <w:left w:val="nil"/>
                <w:bottom w:val="nil"/>
                <w:right w:val="nil"/>
                <w:between w:val="nil"/>
              </w:pBdr>
              <w:shd w:val="clear" w:color="auto" w:fill="FFFFFF"/>
              <w:ind w:firstLine="227"/>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b/>
                <w:i/>
                <w:color w:val="0D0D0D"/>
                <w:sz w:val="26"/>
                <w:szCs w:val="26"/>
              </w:rPr>
              <w:t>Міністерство цифрової трансформації України</w:t>
            </w:r>
          </w:p>
        </w:tc>
      </w:tr>
      <w:tr w:rsidR="00CA05D6" w:rsidRPr="00B6788F" w14:paraId="0C54B8FD" w14:textId="77777777">
        <w:trPr>
          <w:trHeight w:val="869"/>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9290DC6" w14:textId="77777777" w:rsidR="00CA05D6" w:rsidRPr="00B6788F" w:rsidRDefault="002E1C3B">
            <w:pPr>
              <w:shd w:val="clear" w:color="auto" w:fill="FFFFFF"/>
              <w:ind w:left="-68" w:right="135"/>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8.</w:t>
            </w:r>
          </w:p>
        </w:tc>
        <w:tc>
          <w:tcPr>
            <w:tcW w:w="401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70261B8"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технології виготовлення композитних матеріалів для ракетних двигунів</w:t>
            </w:r>
            <w:r w:rsidRPr="00B6788F">
              <w:rPr>
                <w:rFonts w:ascii="Times New Roman" w:eastAsia="Times New Roman" w:hAnsi="Times New Roman" w:cs="Times New Roman"/>
                <w:color w:val="0D0D0D"/>
                <w:sz w:val="26"/>
                <w:szCs w:val="26"/>
              </w:rPr>
              <w:t xml:space="preserve"> </w:t>
            </w:r>
          </w:p>
        </w:tc>
        <w:tc>
          <w:tcPr>
            <w:tcW w:w="1105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16BD0F2" w14:textId="77777777" w:rsidR="00CA05D6" w:rsidRPr="00B6788F" w:rsidRDefault="002E1C3B">
            <w:pPr>
              <w:shd w:val="clear" w:color="auto" w:fill="FFFFFF"/>
              <w:ind w:right="80" w:firstLine="580"/>
              <w:jc w:val="both"/>
              <w:rPr>
                <w:rFonts w:ascii="Times New Roman" w:eastAsia="Times New Roman" w:hAnsi="Times New Roman" w:cs="Times New Roman"/>
                <w:color w:val="0D0D0D"/>
                <w:sz w:val="26"/>
                <w:szCs w:val="26"/>
              </w:rPr>
            </w:pPr>
            <w:bookmarkStart w:id="1" w:name="_heading=h.gjdgxs" w:colFirst="0" w:colLast="0"/>
            <w:bookmarkEnd w:id="1"/>
            <w:r w:rsidRPr="00B6788F">
              <w:rPr>
                <w:rFonts w:ascii="Times New Roman" w:eastAsia="Times New Roman" w:hAnsi="Times New Roman" w:cs="Times New Roman"/>
                <w:color w:val="0D0D0D"/>
                <w:sz w:val="26"/>
                <w:szCs w:val="26"/>
              </w:rPr>
              <w:t>Розробка і впровадження технологій виготовлення композитних матеріалів, здатних витримувати екстремальні умови ракетних двигунів, використовуючи місцеві ресурси для забезпечення потреб української ракетобудівної промисловості.</w:t>
            </w:r>
          </w:p>
          <w:p w14:paraId="003BAC7C" w14:textId="77777777" w:rsidR="00CA05D6" w:rsidRPr="00B6788F" w:rsidRDefault="002E1C3B">
            <w:pPr>
              <w:shd w:val="clear" w:color="auto" w:fill="FFFFFF"/>
              <w:ind w:right="80" w:firstLine="580"/>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8</w:t>
            </w:r>
          </w:p>
        </w:tc>
      </w:tr>
      <w:tr w:rsidR="00CA05D6" w:rsidRPr="00B6788F" w14:paraId="00D9B3A6" w14:textId="77777777">
        <w:trPr>
          <w:cantSplit/>
          <w:trHeight w:val="1422"/>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9496E45" w14:textId="77777777" w:rsidR="00CA05D6" w:rsidRPr="00B6788F" w:rsidRDefault="002E1C3B">
            <w:pPr>
              <w:shd w:val="clear" w:color="auto" w:fill="FFFFFF"/>
              <w:ind w:right="135"/>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9.</w:t>
            </w:r>
          </w:p>
        </w:tc>
        <w:tc>
          <w:tcPr>
            <w:tcW w:w="401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118234E"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Розроблення технології виробництва високобризантної вибухової речовини з місцево доступних компонентів </w:t>
            </w:r>
          </w:p>
        </w:tc>
        <w:tc>
          <w:tcPr>
            <w:tcW w:w="1105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60F0E30" w14:textId="77777777" w:rsidR="00CA05D6" w:rsidRPr="00B6788F" w:rsidRDefault="002E1C3B">
            <w:pPr>
              <w:shd w:val="clear" w:color="auto" w:fill="FFFFFF"/>
              <w:ind w:right="80" w:firstLine="42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ефективної і безпечної технології для виробництва високобризантної вибухової речовини, використовуючи місцево доступні компоненти.</w:t>
            </w:r>
          </w:p>
          <w:p w14:paraId="5AA01507" w14:textId="77777777" w:rsidR="00CA05D6" w:rsidRPr="00B6788F" w:rsidRDefault="002E1C3B">
            <w:pPr>
              <w:shd w:val="clear" w:color="auto" w:fill="FFFFFF"/>
              <w:ind w:right="80" w:firstLine="42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Функціональне призначення цієї продукції полягає в забезпеченні потреб у  її використанні в геологічних розвідувальних роботах, будівництві, а також у інших сферах, де потрібний високий рівень вибухової ефективності.</w:t>
            </w:r>
          </w:p>
          <w:p w14:paraId="4A53831C" w14:textId="77777777" w:rsidR="00CA05D6" w:rsidRPr="00B6788F" w:rsidRDefault="002E1C3B">
            <w:pPr>
              <w:shd w:val="clear" w:color="auto" w:fill="FFFFFF"/>
              <w:ind w:right="80" w:firstLine="425"/>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9</w:t>
            </w:r>
          </w:p>
        </w:tc>
      </w:tr>
      <w:tr w:rsidR="00CA05D6" w:rsidRPr="00B6788F" w14:paraId="4CF65EBE" w14:textId="77777777">
        <w:trPr>
          <w:cantSplit/>
          <w:trHeight w:val="973"/>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ACD9F0D" w14:textId="77777777" w:rsidR="00CA05D6" w:rsidRPr="00B6788F" w:rsidRDefault="002E1C3B">
            <w:pPr>
              <w:shd w:val="clear" w:color="auto" w:fill="FFFFFF"/>
              <w:ind w:right="135"/>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10.</w:t>
            </w:r>
          </w:p>
        </w:tc>
        <w:tc>
          <w:tcPr>
            <w:tcW w:w="401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D5B94F4"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bookmarkStart w:id="2" w:name="_heading=h.3znysh7" w:colFirst="0" w:colLast="0"/>
            <w:bookmarkEnd w:id="2"/>
            <w:r w:rsidRPr="00B6788F">
              <w:rPr>
                <w:rFonts w:ascii="Times New Roman" w:eastAsia="Times New Roman" w:hAnsi="Times New Roman" w:cs="Times New Roman"/>
                <w:b/>
                <w:color w:val="0D0D0D"/>
                <w:sz w:val="26"/>
                <w:szCs w:val="26"/>
              </w:rPr>
              <w:t>Розроблення навігаційної системи з прив'язкою до місцевості для БПЛА</w:t>
            </w:r>
          </w:p>
          <w:p w14:paraId="3D6E5B23" w14:textId="77777777" w:rsidR="00CA05D6" w:rsidRPr="00B6788F" w:rsidRDefault="00CA05D6">
            <w:pPr>
              <w:shd w:val="clear" w:color="auto" w:fill="FFFFFF"/>
              <w:ind w:right="80"/>
              <w:jc w:val="both"/>
              <w:rPr>
                <w:rFonts w:ascii="Times New Roman" w:eastAsia="Times New Roman" w:hAnsi="Times New Roman" w:cs="Times New Roman"/>
                <w:b/>
                <w:color w:val="0D0D0D"/>
                <w:sz w:val="26"/>
                <w:szCs w:val="26"/>
              </w:rPr>
            </w:pPr>
          </w:p>
        </w:tc>
        <w:tc>
          <w:tcPr>
            <w:tcW w:w="110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AB295A" w14:textId="77777777" w:rsidR="00CA05D6" w:rsidRPr="00B6788F" w:rsidRDefault="002E1C3B">
            <w:pPr>
              <w:shd w:val="clear" w:color="auto" w:fill="FFFFFF"/>
              <w:ind w:right="79"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 xml:space="preserve">Розроблення навігаційної системи з прив’язкою до місцевості з використанням підходу злиття/узгодження сцен (СПЗН), з можливостями злиття візуальної та інерціальної одометрії для безпілотних літальних апаратів (БПЛА). Ця система дозволить БПЛА здійснювати точну, </w:t>
            </w:r>
            <w:r w:rsidRPr="00B6788F">
              <w:rPr>
                <w:rFonts w:ascii="Times New Roman" w:eastAsia="Times New Roman" w:hAnsi="Times New Roman" w:cs="Times New Roman"/>
                <w:color w:val="0D0D0D"/>
                <w:sz w:val="26"/>
                <w:szCs w:val="26"/>
              </w:rPr>
              <w:lastRenderedPageBreak/>
              <w:t>ефективну і непомітну навігацію в умовах відсутності GNSS. СПЗН об'єднає камери високої роздільної здатності, інерційні датчики MEMS і передові алгоритми для виділення особливостей, обробки шуму і зіставлення зображень. Вона повинна об'єднувати дані з декількох датчиків, в тому числі LiDAR і радарів, для створення комплексного навігаційного рішення. Система також повинна включати навігацію на основі штучного інтелекту для оптимізації шляху в реальному часі і уникнення перешкод, забезпечуючи надійну і непомітну роботу. Кінцевий продукт буде здатний виконувати місії в різних умовах навколишнього середовища, надаючи повну навігаційну інформацію з підвищеною точністю і надійністю.</w:t>
            </w:r>
          </w:p>
          <w:p w14:paraId="3A5E4128" w14:textId="77777777" w:rsidR="00CA05D6" w:rsidRPr="00B6788F" w:rsidRDefault="002E1C3B">
            <w:pPr>
              <w:shd w:val="clear" w:color="auto" w:fill="FFFFFF"/>
              <w:ind w:right="79"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10</w:t>
            </w:r>
          </w:p>
        </w:tc>
      </w:tr>
      <w:tr w:rsidR="00CA05D6" w:rsidRPr="00B6788F" w14:paraId="18A77436" w14:textId="77777777">
        <w:trPr>
          <w:cantSplit/>
          <w:trHeight w:val="60"/>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9D763E" w14:textId="77777777" w:rsidR="00CA05D6" w:rsidRPr="00B6788F" w:rsidRDefault="002E1C3B">
            <w:pPr>
              <w:shd w:val="clear" w:color="auto" w:fill="FFFFFF"/>
              <w:ind w:left="135" w:right="-5" w:hanging="135"/>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11.</w:t>
            </w:r>
          </w:p>
        </w:tc>
        <w:tc>
          <w:tcPr>
            <w:tcW w:w="401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DCDEC7D"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Розробка багатофункціонального маскувального матеріалу </w:t>
            </w:r>
          </w:p>
        </w:tc>
        <w:tc>
          <w:tcPr>
            <w:tcW w:w="1105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FF62139" w14:textId="77777777" w:rsidR="00CA05D6" w:rsidRPr="00B6788F" w:rsidRDefault="002E1C3B">
            <w:pPr>
              <w:shd w:val="clear" w:color="auto" w:fill="FFFFFF"/>
              <w:ind w:right="80" w:firstLine="283"/>
              <w:jc w:val="both"/>
              <w:rPr>
                <w:rFonts w:ascii="Times New Roman" w:eastAsia="Times New Roman" w:hAnsi="Times New Roman" w:cs="Times New Roman"/>
                <w:color w:val="0D0D0D"/>
                <w:sz w:val="26"/>
                <w:szCs w:val="26"/>
              </w:rPr>
            </w:pPr>
            <w:bookmarkStart w:id="3" w:name="_heading=h.7pbdq3hr3l5n" w:colFirst="0" w:colLast="0"/>
            <w:bookmarkEnd w:id="3"/>
            <w:r w:rsidRPr="00B6788F">
              <w:rPr>
                <w:rFonts w:ascii="Times New Roman" w:eastAsia="Times New Roman" w:hAnsi="Times New Roman" w:cs="Times New Roman"/>
                <w:color w:val="0D0D0D"/>
                <w:sz w:val="26"/>
                <w:szCs w:val="26"/>
              </w:rPr>
              <w:t>Розроблення інноваційного маскувального матеріалу, який ефективно зменшує видимість об’єктів в тепловізійних, інфрачервоних та інших оптичних спектрах.</w:t>
            </w:r>
          </w:p>
          <w:p w14:paraId="106548D3" w14:textId="77777777" w:rsidR="00CA05D6" w:rsidRPr="00B6788F" w:rsidRDefault="002E1C3B">
            <w:pPr>
              <w:shd w:val="clear" w:color="auto" w:fill="FFFFFF"/>
              <w:ind w:right="80"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11</w:t>
            </w:r>
          </w:p>
        </w:tc>
      </w:tr>
      <w:tr w:rsidR="00CA05D6" w:rsidRPr="00B6788F" w14:paraId="6B267944" w14:textId="77777777">
        <w:trPr>
          <w:cantSplit/>
          <w:trHeight w:val="795"/>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B21FFE0"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12.</w:t>
            </w:r>
          </w:p>
        </w:tc>
        <w:tc>
          <w:tcPr>
            <w:tcW w:w="401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262206D"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Розроблення системи розпізнавання та класифікації цілей на основі штучного інтелекту </w:t>
            </w:r>
          </w:p>
          <w:p w14:paraId="5982A63A" w14:textId="77777777" w:rsidR="00CA05D6" w:rsidRPr="00B6788F" w:rsidRDefault="00CA05D6">
            <w:pPr>
              <w:shd w:val="clear" w:color="auto" w:fill="FFFFFF"/>
              <w:jc w:val="both"/>
              <w:rPr>
                <w:rFonts w:ascii="Times New Roman" w:eastAsia="Times New Roman" w:hAnsi="Times New Roman" w:cs="Times New Roman"/>
                <w:b/>
                <w:color w:val="0D0D0D"/>
                <w:sz w:val="26"/>
                <w:szCs w:val="26"/>
              </w:rPr>
            </w:pPr>
          </w:p>
        </w:tc>
        <w:tc>
          <w:tcPr>
            <w:tcW w:w="1105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42FD47E" w14:textId="77777777" w:rsidR="00CA05D6" w:rsidRPr="00B6788F" w:rsidRDefault="002E1C3B">
            <w:pPr>
              <w:shd w:val="clear" w:color="auto" w:fill="FFFFFF"/>
              <w:ind w:right="80"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 xml:space="preserve">Розроблення системи штучного інтелекту для розпізнавання та класифікації об'єктів в реальному часі на основі даних різної якості. </w:t>
            </w:r>
          </w:p>
          <w:p w14:paraId="39F79BF3" w14:textId="77777777" w:rsidR="00CA05D6" w:rsidRPr="00B6788F" w:rsidRDefault="002E1C3B">
            <w:pPr>
              <w:shd w:val="clear" w:color="auto" w:fill="FFFFFF"/>
              <w:ind w:right="80"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12</w:t>
            </w:r>
          </w:p>
        </w:tc>
      </w:tr>
      <w:tr w:rsidR="00CA05D6" w:rsidRPr="00B6788F" w14:paraId="71FC5542" w14:textId="77777777">
        <w:trPr>
          <w:trHeight w:val="265"/>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E070430"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13.</w:t>
            </w:r>
          </w:p>
        </w:tc>
        <w:tc>
          <w:tcPr>
            <w:tcW w:w="401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E38813A"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Розроблення інформаційно-комунікаційної системи </w:t>
            </w:r>
            <w:r w:rsidR="001652D5" w:rsidRPr="00B6788F">
              <w:rPr>
                <w:rFonts w:ascii="Times New Roman" w:eastAsia="Times New Roman" w:hAnsi="Times New Roman" w:cs="Times New Roman"/>
                <w:b/>
                <w:color w:val="0D0D0D"/>
                <w:sz w:val="26"/>
                <w:szCs w:val="26"/>
              </w:rPr>
              <w:t xml:space="preserve">«Інформаційно-аналітична система </w:t>
            </w:r>
            <w:r w:rsidRPr="00B6788F">
              <w:rPr>
                <w:rFonts w:ascii="Times New Roman" w:eastAsia="Times New Roman" w:hAnsi="Times New Roman" w:cs="Times New Roman"/>
                <w:b/>
                <w:color w:val="0D0D0D"/>
                <w:sz w:val="26"/>
                <w:szCs w:val="26"/>
              </w:rPr>
              <w:t>«Сертифікація та професійний розвиток педагогічних працівників»</w:t>
            </w:r>
          </w:p>
        </w:tc>
        <w:tc>
          <w:tcPr>
            <w:tcW w:w="1105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8C2551A" w14:textId="77777777" w:rsidR="00CA05D6" w:rsidRPr="00B6788F" w:rsidRDefault="002E1C3B">
            <w:pPr>
              <w:widowControl w:val="0"/>
              <w:pBdr>
                <w:top w:val="nil"/>
                <w:left w:val="nil"/>
                <w:bottom w:val="nil"/>
                <w:right w:val="nil"/>
                <w:between w:val="nil"/>
              </w:pBd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 xml:space="preserve">Створення автоматизованих підсистем реєстрації та ідентифікації за допомогою ІСЕІ id.gov.ua, самооцінювання учасниками сертифікації власної педагогічної майстерності, експертного оцінювання професійних компетентностей педагогічних працівників за визначеними критеріями із генерацією експертних висновків, звітів та рекомендацій, планування професійного розвитку учасників сертифікації, з підготовкою та обґрунтування технологічних параметрів. </w:t>
            </w:r>
          </w:p>
          <w:p w14:paraId="6247A7C7" w14:textId="77777777" w:rsidR="00CA05D6" w:rsidRPr="00B6788F" w:rsidRDefault="002E1C3B">
            <w:pPr>
              <w:widowControl w:val="0"/>
              <w:pBdr>
                <w:top w:val="nil"/>
                <w:left w:val="nil"/>
                <w:bottom w:val="nil"/>
                <w:right w:val="nil"/>
                <w:between w:val="nil"/>
              </w:pBd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13</w:t>
            </w:r>
          </w:p>
        </w:tc>
      </w:tr>
      <w:tr w:rsidR="00CA05D6" w:rsidRPr="00B6788F" w14:paraId="08C6B962" w14:textId="77777777">
        <w:trPr>
          <w:trHeight w:val="240"/>
        </w:trPr>
        <w:tc>
          <w:tcPr>
            <w:tcW w:w="15730" w:type="dxa"/>
            <w:gridSpan w:val="3"/>
            <w:tcBorders>
              <w:top w:val="single" w:sz="4" w:space="0" w:color="000000"/>
              <w:right w:val="single" w:sz="4" w:space="0" w:color="000000"/>
            </w:tcBorders>
            <w:shd w:val="clear" w:color="auto" w:fill="FFFFFF"/>
          </w:tcPr>
          <w:p w14:paraId="785FA841" w14:textId="77777777" w:rsidR="00CA05D6" w:rsidRPr="00B6788F" w:rsidRDefault="002E1C3B">
            <w:pPr>
              <w:shd w:val="clear" w:color="auto" w:fill="FFFFFF"/>
              <w:jc w:val="center"/>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b/>
                <w:i/>
                <w:color w:val="0D0D0D"/>
                <w:sz w:val="26"/>
                <w:szCs w:val="26"/>
              </w:rPr>
              <w:t>Міністерство оборони України</w:t>
            </w:r>
          </w:p>
        </w:tc>
      </w:tr>
      <w:tr w:rsidR="00CA05D6" w:rsidRPr="00B6788F" w14:paraId="10060865" w14:textId="77777777">
        <w:tc>
          <w:tcPr>
            <w:tcW w:w="660" w:type="dxa"/>
            <w:tcBorders>
              <w:right w:val="single" w:sz="4" w:space="0" w:color="000000"/>
            </w:tcBorders>
          </w:tcPr>
          <w:p w14:paraId="4AC28A24"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14.</w:t>
            </w:r>
          </w:p>
        </w:tc>
        <w:tc>
          <w:tcPr>
            <w:tcW w:w="4013" w:type="dxa"/>
            <w:tcBorders>
              <w:left w:val="single" w:sz="4" w:space="0" w:color="000000"/>
              <w:right w:val="single" w:sz="4" w:space="0" w:color="000000"/>
            </w:tcBorders>
            <w:shd w:val="clear" w:color="auto" w:fill="FFFFFF"/>
          </w:tcPr>
          <w:p w14:paraId="243A60FE"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Високоорганізований робототехнічний комплекс </w:t>
            </w:r>
            <w:r w:rsidRPr="00B6788F">
              <w:rPr>
                <w:rFonts w:ascii="Times New Roman" w:eastAsia="Times New Roman" w:hAnsi="Times New Roman" w:cs="Times New Roman"/>
                <w:b/>
                <w:color w:val="0D0D0D"/>
                <w:sz w:val="26"/>
                <w:szCs w:val="26"/>
              </w:rPr>
              <w:lastRenderedPageBreak/>
              <w:t>мобільних засобів ураження із різними типами переміщення</w:t>
            </w:r>
          </w:p>
        </w:tc>
        <w:tc>
          <w:tcPr>
            <w:tcW w:w="11057" w:type="dxa"/>
            <w:tcBorders>
              <w:left w:val="single" w:sz="4" w:space="0" w:color="000000"/>
            </w:tcBorders>
            <w:shd w:val="clear" w:color="auto" w:fill="FFFFFF"/>
          </w:tcPr>
          <w:p w14:paraId="6EA7C8E9" w14:textId="77777777" w:rsidR="00CA05D6" w:rsidRPr="00B6788F" w:rsidRDefault="002E1C3B">
            <w:pPr>
              <w:widowControl w:val="0"/>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 xml:space="preserve">Розроблення високоорганізованого робототехнічного комплексу мобільних засобів ураження із різними типами переміщення типу «земля-земля» та «повітря-земля», основою якого стане </w:t>
            </w:r>
            <w:r w:rsidRPr="00B6788F">
              <w:rPr>
                <w:rFonts w:ascii="Times New Roman" w:eastAsia="Times New Roman" w:hAnsi="Times New Roman" w:cs="Times New Roman"/>
                <w:color w:val="0D0D0D"/>
                <w:sz w:val="26"/>
                <w:szCs w:val="26"/>
              </w:rPr>
              <w:lastRenderedPageBreak/>
              <w:t>єдина система регламентації поведінки групи роботів, направленої на високоефективне ураження живої сили супротивника.</w:t>
            </w:r>
          </w:p>
          <w:p w14:paraId="35D38E47" w14:textId="77777777" w:rsidR="00CA05D6" w:rsidRPr="00B6788F" w:rsidRDefault="002E1C3B">
            <w:pPr>
              <w:widowControl w:val="0"/>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14</w:t>
            </w:r>
          </w:p>
        </w:tc>
      </w:tr>
      <w:tr w:rsidR="00CA05D6" w:rsidRPr="00B6788F" w14:paraId="3797E604" w14:textId="77777777">
        <w:tc>
          <w:tcPr>
            <w:tcW w:w="660" w:type="dxa"/>
          </w:tcPr>
          <w:p w14:paraId="527CD2EC"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15.</w:t>
            </w:r>
          </w:p>
        </w:tc>
        <w:tc>
          <w:tcPr>
            <w:tcW w:w="4013" w:type="dxa"/>
            <w:shd w:val="clear" w:color="auto" w:fill="FFFFFF"/>
          </w:tcPr>
          <w:p w14:paraId="19B48579"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Макет багатопозиційної напівактивної радіолокаційної станції прихованого виявлення маловисотних повітряних цілей типу БПЛА </w:t>
            </w:r>
          </w:p>
        </w:tc>
        <w:tc>
          <w:tcPr>
            <w:tcW w:w="11057" w:type="dxa"/>
            <w:shd w:val="clear" w:color="auto" w:fill="FFFFFF"/>
          </w:tcPr>
          <w:p w14:paraId="3D712F5A" w14:textId="77777777" w:rsidR="00CA05D6" w:rsidRPr="00B6788F" w:rsidRDefault="002E1C3B">
            <w:pPr>
              <w:widowControl w:val="0"/>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Макет багатопозиційної напівактивної радіолокаційної станції прихованого виявлення маловисотних повітряних цілей типу БПЛА. Макет станції повинен складатися з одного передавального (опромінювального) пункту та 3-4 пасивних приймальних пунктів. Передавальний та приймальні пункти будуються на основі фазованих (цифрових) антенних решіток. Станція повинна забезпечувати незалежну роботу передавального та приймальних пунктів. Принцип вибору виду сигналу передавального пункту повинен забезпечувати високу скритність і завадозахищеність, з можливістю забезпечення одночасної роботи приймальних пунктів по сигналам декількох передавальних пунктів.</w:t>
            </w:r>
          </w:p>
          <w:p w14:paraId="3A32529B" w14:textId="77777777" w:rsidR="00CA05D6" w:rsidRPr="00B6788F" w:rsidRDefault="002E1C3B">
            <w:pPr>
              <w:widowControl w:val="0"/>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15</w:t>
            </w:r>
          </w:p>
        </w:tc>
      </w:tr>
      <w:tr w:rsidR="00CA05D6" w:rsidRPr="00B6788F" w14:paraId="31DDF75D" w14:textId="77777777">
        <w:trPr>
          <w:trHeight w:val="979"/>
        </w:trPr>
        <w:tc>
          <w:tcPr>
            <w:tcW w:w="660" w:type="dxa"/>
          </w:tcPr>
          <w:p w14:paraId="595FFBE5"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16.</w:t>
            </w:r>
          </w:p>
        </w:tc>
        <w:tc>
          <w:tcPr>
            <w:tcW w:w="4013" w:type="dxa"/>
            <w:shd w:val="clear" w:color="auto" w:fill="FFFFFF"/>
          </w:tcPr>
          <w:p w14:paraId="524F753B"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системи визначення повітряних цілей на низьких висотах</w:t>
            </w:r>
          </w:p>
        </w:tc>
        <w:tc>
          <w:tcPr>
            <w:tcW w:w="11057" w:type="dxa"/>
            <w:shd w:val="clear" w:color="auto" w:fill="FFFFFF"/>
          </w:tcPr>
          <w:p w14:paraId="4D5127A2" w14:textId="77777777" w:rsidR="00CA05D6" w:rsidRPr="00B6788F" w:rsidRDefault="002E1C3B">
            <w:pPr>
              <w:widowControl w:val="0"/>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системи визначення повітряних цілей супротивника (БПЛА та крилатих ракет) на низьких висотах для подальшого попередження засобів ППО та їх оперативного знищення, використовуючи системи мікрофонів, які розташовані на телекомунікаційних вишках.</w:t>
            </w:r>
          </w:p>
          <w:p w14:paraId="3D6A4B77" w14:textId="77777777" w:rsidR="00CA05D6" w:rsidRPr="00B6788F" w:rsidRDefault="002E1C3B">
            <w:pPr>
              <w:widowControl w:val="0"/>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16</w:t>
            </w:r>
          </w:p>
        </w:tc>
      </w:tr>
      <w:tr w:rsidR="00CA05D6" w:rsidRPr="00B6788F" w14:paraId="0154FB29" w14:textId="77777777">
        <w:trPr>
          <w:trHeight w:val="558"/>
        </w:trPr>
        <w:tc>
          <w:tcPr>
            <w:tcW w:w="660" w:type="dxa"/>
          </w:tcPr>
          <w:p w14:paraId="2B676A2D"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17.</w:t>
            </w:r>
          </w:p>
        </w:tc>
        <w:tc>
          <w:tcPr>
            <w:tcW w:w="4013" w:type="dxa"/>
            <w:shd w:val="clear" w:color="auto" w:fill="FFFFFF"/>
          </w:tcPr>
          <w:p w14:paraId="39610D73"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інтелектуальної платформи з компонентною архітектурою когнітивних сервісів для аналізу великих обсягів інформації</w:t>
            </w:r>
          </w:p>
        </w:tc>
        <w:tc>
          <w:tcPr>
            <w:tcW w:w="11057" w:type="dxa"/>
            <w:shd w:val="clear" w:color="auto" w:fill="FFFFFF"/>
          </w:tcPr>
          <w:p w14:paraId="5B4DCB18" w14:textId="77777777" w:rsidR="00CA05D6" w:rsidRPr="00B6788F" w:rsidRDefault="002E1C3B">
            <w:pPr>
              <w:pBdr>
                <w:top w:val="nil"/>
                <w:left w:val="nil"/>
                <w:bottom w:val="nil"/>
                <w:right w:val="nil"/>
                <w:between w:val="nil"/>
              </w:pBd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Використання штучного інтелекту для військових цілей, зокрема, для аналізу, збору та обробки інформації для прийняття рішень.</w:t>
            </w:r>
          </w:p>
          <w:p w14:paraId="52753B26" w14:textId="77777777" w:rsidR="00CA05D6" w:rsidRPr="00B6788F" w:rsidRDefault="002E1C3B">
            <w:pPr>
              <w:shd w:val="clear" w:color="auto" w:fill="FFFFFF"/>
              <w:ind w:right="80"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інтелектуальної платформи з компонентною архітектурою когнітивних сервісів, які реалізують семантико-лінгвістичний та концептографічний аналіз великих обсягів інформації, а саме: наративів, документів та табличних даних, засобів телеметрії, виявлення логістичних зв’язків між ними, критеріїв оцінювання та підтримку прийняття рішень.</w:t>
            </w:r>
          </w:p>
          <w:p w14:paraId="766AFC10" w14:textId="77777777" w:rsidR="00CA05D6" w:rsidRPr="00B6788F" w:rsidRDefault="002E1C3B">
            <w:pPr>
              <w:shd w:val="clear" w:color="auto" w:fill="FFFFFF"/>
              <w:ind w:right="80"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17</w:t>
            </w:r>
          </w:p>
        </w:tc>
      </w:tr>
      <w:tr w:rsidR="00CA05D6" w:rsidRPr="00B6788F" w14:paraId="24099AD1" w14:textId="77777777">
        <w:trPr>
          <w:trHeight w:val="1976"/>
        </w:trPr>
        <w:tc>
          <w:tcPr>
            <w:tcW w:w="660" w:type="dxa"/>
          </w:tcPr>
          <w:p w14:paraId="3434056C"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18.</w:t>
            </w:r>
          </w:p>
        </w:tc>
        <w:tc>
          <w:tcPr>
            <w:tcW w:w="4013" w:type="dxa"/>
          </w:tcPr>
          <w:p w14:paraId="4AC0DC8C"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Удосконалення технології виробництва підшипникових сталей для виготовлення перспективних підшипників, які використовуються у спеціальній техніці </w:t>
            </w:r>
          </w:p>
        </w:tc>
        <w:tc>
          <w:tcPr>
            <w:tcW w:w="11057" w:type="dxa"/>
          </w:tcPr>
          <w:p w14:paraId="63D9C3CE" w14:textId="77777777" w:rsidR="00CA05D6" w:rsidRPr="00B6788F" w:rsidRDefault="002E1C3B">
            <w:pP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Удосконалення технології виробництва підшипникових сталей для виготовлення теплостійких підшипників, які використовуються в стратегічних галузях промисловості України (авіадвигунобудування, ракетобудування, суднобудування, танкобудування).</w:t>
            </w:r>
          </w:p>
          <w:p w14:paraId="3439AF5F" w14:textId="77777777" w:rsidR="00CA05D6" w:rsidRPr="00B6788F" w:rsidRDefault="002E1C3B">
            <w:pPr>
              <w:shd w:val="clear" w:color="auto" w:fill="FFFFFF"/>
              <w:ind w:firstLine="29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18</w:t>
            </w:r>
          </w:p>
        </w:tc>
      </w:tr>
      <w:tr w:rsidR="00CA05D6" w:rsidRPr="00B6788F" w14:paraId="6A592179" w14:textId="77777777">
        <w:trPr>
          <w:trHeight w:val="919"/>
        </w:trPr>
        <w:tc>
          <w:tcPr>
            <w:tcW w:w="660" w:type="dxa"/>
          </w:tcPr>
          <w:p w14:paraId="1F850C75"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19.</w:t>
            </w:r>
          </w:p>
        </w:tc>
        <w:tc>
          <w:tcPr>
            <w:tcW w:w="4013" w:type="dxa"/>
          </w:tcPr>
          <w:p w14:paraId="4E3BB7C0"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Розроблення технології виготовлення дрібнодисперсних порошків жароміцних сплавів для </w:t>
            </w:r>
            <w:r w:rsidRPr="00B6788F">
              <w:rPr>
                <w:rFonts w:ascii="Times New Roman" w:eastAsia="Times New Roman" w:hAnsi="Times New Roman" w:cs="Times New Roman"/>
                <w:b/>
                <w:color w:val="0D0D0D"/>
                <w:sz w:val="26"/>
                <w:szCs w:val="26"/>
              </w:rPr>
              <w:br/>
              <w:t>3 D-принтерування</w:t>
            </w:r>
          </w:p>
        </w:tc>
        <w:tc>
          <w:tcPr>
            <w:tcW w:w="11057" w:type="dxa"/>
            <w:tcBorders>
              <w:left w:val="single" w:sz="4" w:space="0" w:color="000000"/>
            </w:tcBorders>
          </w:tcPr>
          <w:p w14:paraId="64051305" w14:textId="77777777" w:rsidR="00CA05D6" w:rsidRPr="00B6788F" w:rsidRDefault="002E1C3B">
            <w:pPr>
              <w:widowControl w:val="0"/>
              <w:shd w:val="clear" w:color="auto" w:fill="FFFFFF"/>
              <w:ind w:firstLine="32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 xml:space="preserve">Розроблення технології та виготовлення дрібнодисперсного порошку з розміром часток </w:t>
            </w:r>
            <w:r w:rsidRPr="00B6788F">
              <w:rPr>
                <w:rFonts w:ascii="Times New Roman" w:eastAsia="Times New Roman" w:hAnsi="Times New Roman" w:cs="Times New Roman"/>
                <w:color w:val="0D0D0D"/>
                <w:sz w:val="26"/>
                <w:szCs w:val="26"/>
              </w:rPr>
              <w:br/>
              <w:t>10-50 мкм, 20-63 мкм та інших для виготовлення деталей авіаційної техніки та іншого стратегічного обладнання методом 3D-принтерування.</w:t>
            </w:r>
          </w:p>
          <w:p w14:paraId="31B79197" w14:textId="77777777" w:rsidR="00CA05D6" w:rsidRPr="00B6788F" w:rsidRDefault="002E1C3B">
            <w:pPr>
              <w:widowControl w:val="0"/>
              <w:shd w:val="clear" w:color="auto" w:fill="FFFFFF"/>
              <w:ind w:firstLine="323"/>
              <w:jc w:val="both"/>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19</w:t>
            </w:r>
          </w:p>
        </w:tc>
      </w:tr>
      <w:tr w:rsidR="00CA05D6" w:rsidRPr="00B6788F" w14:paraId="7EE39B6D" w14:textId="77777777">
        <w:trPr>
          <w:trHeight w:val="240"/>
        </w:trPr>
        <w:tc>
          <w:tcPr>
            <w:tcW w:w="660" w:type="dxa"/>
            <w:tcBorders>
              <w:right w:val="single" w:sz="4" w:space="0" w:color="000000"/>
            </w:tcBorders>
            <w:shd w:val="clear" w:color="auto" w:fill="auto"/>
          </w:tcPr>
          <w:p w14:paraId="78661411" w14:textId="77777777" w:rsidR="00CA05D6" w:rsidRPr="00B6788F" w:rsidRDefault="002E1C3B">
            <w:pPr>
              <w:shd w:val="clear" w:color="auto" w:fill="FFFFFF"/>
              <w:jc w:val="center"/>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20.</w:t>
            </w:r>
          </w:p>
        </w:tc>
        <w:tc>
          <w:tcPr>
            <w:tcW w:w="4013" w:type="dxa"/>
            <w:tcBorders>
              <w:right w:val="single" w:sz="4" w:space="0" w:color="000000"/>
            </w:tcBorders>
            <w:shd w:val="clear" w:color="auto" w:fill="auto"/>
          </w:tcPr>
          <w:p w14:paraId="7F1CCCB4"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стандартів для  технічних допоміжних засобів для осіб з порушенням зору та осіб з порушення</w:t>
            </w:r>
            <w:r w:rsidR="001652D5" w:rsidRPr="00B6788F">
              <w:rPr>
                <w:rFonts w:ascii="Times New Roman" w:eastAsia="Times New Roman" w:hAnsi="Times New Roman" w:cs="Times New Roman"/>
                <w:b/>
                <w:color w:val="0D0D0D"/>
                <w:sz w:val="26"/>
                <w:szCs w:val="26"/>
              </w:rPr>
              <w:t>м</w:t>
            </w:r>
            <w:r w:rsidRPr="00B6788F">
              <w:rPr>
                <w:rFonts w:ascii="Times New Roman" w:eastAsia="Times New Roman" w:hAnsi="Times New Roman" w:cs="Times New Roman"/>
                <w:b/>
                <w:color w:val="0D0D0D"/>
                <w:sz w:val="26"/>
                <w:szCs w:val="26"/>
              </w:rPr>
              <w:t xml:space="preserve"> зору та слуху</w:t>
            </w:r>
          </w:p>
        </w:tc>
        <w:tc>
          <w:tcPr>
            <w:tcW w:w="11057" w:type="dxa"/>
            <w:tcBorders>
              <w:left w:val="single" w:sz="4" w:space="0" w:color="000000"/>
              <w:right w:val="single" w:sz="4" w:space="0" w:color="000000"/>
            </w:tcBorders>
            <w:shd w:val="clear" w:color="auto" w:fill="auto"/>
          </w:tcPr>
          <w:p w14:paraId="0EE61140" w14:textId="77777777" w:rsidR="00CA05D6" w:rsidRPr="00B6788F" w:rsidRDefault="002E1C3B">
            <w:pPr>
              <w:shd w:val="clear" w:color="auto" w:fill="FFFFFF"/>
              <w:ind w:firstLine="32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національних стандартів України щодо встановлення єдиних технічних вимог і правил застосування на транспорті загального користування пристроїв для зовнішнього звукового інформування пасажирів із порушенням зору про номер і кінцеву зупинку маршруту, а також звукових і візуальних (текстових) систем у салоні транспортних засобів для інформування пасажирів із порушенням зору та слуху про зупинки; встановлення єдиних технічних вимог і правил застосування пристроїв для звукового і тактильного дублювання сигналів світлофорів.</w:t>
            </w:r>
          </w:p>
          <w:p w14:paraId="2B308178" w14:textId="77777777" w:rsidR="00CA05D6" w:rsidRPr="00B6788F" w:rsidRDefault="002E1C3B">
            <w:pPr>
              <w:shd w:val="clear" w:color="auto" w:fill="FFFFFF"/>
              <w:ind w:firstLine="323"/>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20</w:t>
            </w:r>
          </w:p>
        </w:tc>
      </w:tr>
      <w:tr w:rsidR="00CA05D6" w:rsidRPr="00B6788F" w14:paraId="1EB79CAB" w14:textId="77777777">
        <w:trPr>
          <w:trHeight w:val="240"/>
        </w:trPr>
        <w:tc>
          <w:tcPr>
            <w:tcW w:w="15730" w:type="dxa"/>
            <w:gridSpan w:val="3"/>
            <w:tcBorders>
              <w:right w:val="single" w:sz="4" w:space="0" w:color="000000"/>
            </w:tcBorders>
            <w:shd w:val="clear" w:color="auto" w:fill="FFFFFF"/>
          </w:tcPr>
          <w:p w14:paraId="7CCEA5B2"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i/>
                <w:color w:val="0D0D0D"/>
                <w:sz w:val="26"/>
                <w:szCs w:val="26"/>
              </w:rPr>
              <w:t>Міністерство внутрішніх справ України</w:t>
            </w:r>
          </w:p>
        </w:tc>
      </w:tr>
      <w:tr w:rsidR="00CA05D6" w:rsidRPr="00B6788F" w14:paraId="5068CC65" w14:textId="77777777">
        <w:trPr>
          <w:trHeight w:val="240"/>
        </w:trPr>
        <w:tc>
          <w:tcPr>
            <w:tcW w:w="660" w:type="dxa"/>
            <w:tcBorders>
              <w:right w:val="single" w:sz="4" w:space="0" w:color="000000"/>
            </w:tcBorders>
            <w:shd w:val="clear" w:color="auto" w:fill="auto"/>
          </w:tcPr>
          <w:p w14:paraId="05022178"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21.</w:t>
            </w:r>
          </w:p>
        </w:tc>
        <w:tc>
          <w:tcPr>
            <w:tcW w:w="4013" w:type="dxa"/>
            <w:tcBorders>
              <w:right w:val="single" w:sz="4" w:space="0" w:color="000000"/>
            </w:tcBorders>
            <w:shd w:val="clear" w:color="auto" w:fill="auto"/>
          </w:tcPr>
          <w:p w14:paraId="3DCAA7CD"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Розроблення пристрою  безпечного знешкодження мін та снарядів на місці їх виявлення</w:t>
            </w:r>
          </w:p>
        </w:tc>
        <w:tc>
          <w:tcPr>
            <w:tcW w:w="11057" w:type="dxa"/>
            <w:tcBorders>
              <w:left w:val="single" w:sz="4" w:space="0" w:color="000000"/>
              <w:right w:val="single" w:sz="4" w:space="0" w:color="000000"/>
            </w:tcBorders>
            <w:shd w:val="clear" w:color="auto" w:fill="auto"/>
          </w:tcPr>
          <w:p w14:paraId="22942796" w14:textId="77777777" w:rsidR="00CA05D6" w:rsidRPr="00B6788F" w:rsidRDefault="002E1C3B">
            <w:pPr>
              <w:shd w:val="clear" w:color="auto" w:fill="FFFFFF"/>
              <w:ind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пристрою для знешкодження мін і снарядів на місці їх виявлення, шляхом відділення їхніх зривників без детонації міни (снаряду) із застосуванням підриву з безпечної відстані.</w:t>
            </w:r>
          </w:p>
          <w:p w14:paraId="28BF5D3E" w14:textId="77777777" w:rsidR="00CA05D6" w:rsidRPr="00B6788F" w:rsidRDefault="002E1C3B">
            <w:pPr>
              <w:shd w:val="clear" w:color="auto" w:fill="FFFFFF"/>
              <w:ind w:firstLine="283"/>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21</w:t>
            </w:r>
          </w:p>
        </w:tc>
      </w:tr>
      <w:tr w:rsidR="00CA05D6" w:rsidRPr="00B6788F" w14:paraId="645A22DE" w14:textId="77777777">
        <w:trPr>
          <w:trHeight w:val="240"/>
        </w:trPr>
        <w:tc>
          <w:tcPr>
            <w:tcW w:w="660" w:type="dxa"/>
            <w:tcBorders>
              <w:right w:val="single" w:sz="4" w:space="0" w:color="000000"/>
            </w:tcBorders>
            <w:shd w:val="clear" w:color="auto" w:fill="auto"/>
          </w:tcPr>
          <w:p w14:paraId="5F76135C"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22.</w:t>
            </w:r>
          </w:p>
        </w:tc>
        <w:tc>
          <w:tcPr>
            <w:tcW w:w="4013" w:type="dxa"/>
            <w:tcBorders>
              <w:right w:val="single" w:sz="4" w:space="0" w:color="000000"/>
            </w:tcBorders>
            <w:shd w:val="clear" w:color="auto" w:fill="auto"/>
          </w:tcPr>
          <w:p w14:paraId="4FD19400"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Приціли для стрілецької вогнепальної зброї для ведення вогню з-за укриття</w:t>
            </w:r>
          </w:p>
        </w:tc>
        <w:tc>
          <w:tcPr>
            <w:tcW w:w="11057" w:type="dxa"/>
            <w:tcBorders>
              <w:left w:val="single" w:sz="4" w:space="0" w:color="000000"/>
              <w:right w:val="single" w:sz="4" w:space="0" w:color="000000"/>
            </w:tcBorders>
            <w:shd w:val="clear" w:color="auto" w:fill="auto"/>
          </w:tcPr>
          <w:p w14:paraId="3627AD33" w14:textId="77777777" w:rsidR="00CA05D6" w:rsidRPr="00B6788F" w:rsidRDefault="002E1C3B">
            <w:pPr>
              <w:widowControl w:val="0"/>
              <w:shd w:val="clear" w:color="auto" w:fill="FFFFFF"/>
              <w:ind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Розроблення (удосконалення) прицілів, які дозволяють ефективно вести вогонь із стрілецької вогнепальної зброї  із-за  укриття під час спеціальних поліцейських операцій та бойових дій в умовах населених пунктів.</w:t>
            </w:r>
          </w:p>
          <w:p w14:paraId="2B2C5844" w14:textId="77777777" w:rsidR="00CA05D6" w:rsidRPr="00B6788F" w:rsidRDefault="002E1C3B">
            <w:pPr>
              <w:shd w:val="clear" w:color="auto" w:fill="FFFFFF"/>
              <w:ind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Приціл – програмно-апаратний пристрій, призначений для забезпечення особистої безпеки особового складу та  підвищення ефективності стрільби, у тому числі і в умовах міської забудови.</w:t>
            </w:r>
          </w:p>
          <w:p w14:paraId="5F430144" w14:textId="77777777" w:rsidR="00CA05D6" w:rsidRPr="00B6788F" w:rsidRDefault="002E1C3B">
            <w:pPr>
              <w:shd w:val="clear" w:color="auto" w:fill="FFFFFF"/>
              <w:ind w:firstLine="283"/>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22</w:t>
            </w:r>
          </w:p>
          <w:p w14:paraId="2894825E" w14:textId="77777777" w:rsidR="00CA05D6" w:rsidRPr="00B6788F" w:rsidRDefault="00CA05D6">
            <w:pPr>
              <w:shd w:val="clear" w:color="auto" w:fill="FFFFFF"/>
              <w:ind w:firstLine="283"/>
              <w:jc w:val="both"/>
              <w:rPr>
                <w:rFonts w:ascii="Times New Roman" w:eastAsia="Times New Roman" w:hAnsi="Times New Roman" w:cs="Times New Roman"/>
                <w:color w:val="0D0D0D"/>
                <w:sz w:val="26"/>
                <w:szCs w:val="26"/>
              </w:rPr>
            </w:pPr>
          </w:p>
        </w:tc>
      </w:tr>
      <w:tr w:rsidR="00CA05D6" w:rsidRPr="00B6788F" w14:paraId="10F98678" w14:textId="77777777">
        <w:trPr>
          <w:trHeight w:val="240"/>
        </w:trPr>
        <w:tc>
          <w:tcPr>
            <w:tcW w:w="660" w:type="dxa"/>
            <w:tcBorders>
              <w:right w:val="single" w:sz="4" w:space="0" w:color="000000"/>
            </w:tcBorders>
            <w:shd w:val="clear" w:color="auto" w:fill="auto"/>
          </w:tcPr>
          <w:p w14:paraId="70F88CDE"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lastRenderedPageBreak/>
              <w:t>23.</w:t>
            </w:r>
          </w:p>
        </w:tc>
        <w:tc>
          <w:tcPr>
            <w:tcW w:w="4013" w:type="dxa"/>
            <w:tcBorders>
              <w:right w:val="single" w:sz="4" w:space="0" w:color="000000"/>
            </w:tcBorders>
            <w:shd w:val="clear" w:color="auto" w:fill="auto"/>
          </w:tcPr>
          <w:p w14:paraId="0A4101E9"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Технології розшуку людей на основі  використання розвідданих на основі відкритих джерел</w:t>
            </w:r>
          </w:p>
          <w:p w14:paraId="7AF2F247" w14:textId="77777777" w:rsidR="00CA05D6" w:rsidRPr="00B6788F" w:rsidRDefault="00CA05D6">
            <w:pPr>
              <w:shd w:val="clear" w:color="auto" w:fill="FFFFFF"/>
              <w:jc w:val="both"/>
              <w:rPr>
                <w:rFonts w:ascii="Times New Roman" w:eastAsia="Times New Roman" w:hAnsi="Times New Roman" w:cs="Times New Roman"/>
                <w:b/>
                <w:color w:val="0D0D0D"/>
                <w:sz w:val="26"/>
                <w:szCs w:val="26"/>
              </w:rPr>
            </w:pPr>
          </w:p>
        </w:tc>
        <w:tc>
          <w:tcPr>
            <w:tcW w:w="11057" w:type="dxa"/>
            <w:tcBorders>
              <w:left w:val="single" w:sz="4" w:space="0" w:color="000000"/>
              <w:right w:val="single" w:sz="4" w:space="0" w:color="000000"/>
            </w:tcBorders>
            <w:shd w:val="clear" w:color="auto" w:fill="auto"/>
          </w:tcPr>
          <w:p w14:paraId="55457531" w14:textId="77777777" w:rsidR="00CA05D6" w:rsidRPr="00B6788F" w:rsidRDefault="002E1C3B">
            <w:pPr>
              <w:shd w:val="clear" w:color="auto" w:fill="FFFFFF"/>
              <w:ind w:firstLine="30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Автоматизація збору, систематизації інформації, отриманої із відкритих джерел (мережа Інтернет, соціальні мережі, реєстри тощо), та отримання на її основі нової інформації з метою виконання завдань розшуку людей (злочинців, осіб, депортованих або примусово переміщених, зниклих безвісти тощо), в тому числі в рамках протидії військовій агресії.</w:t>
            </w:r>
          </w:p>
          <w:p w14:paraId="64ADCC1D" w14:textId="77777777" w:rsidR="00CA05D6" w:rsidRPr="00B6788F" w:rsidRDefault="002E1C3B">
            <w:pPr>
              <w:shd w:val="clear" w:color="auto" w:fill="FFFFFF"/>
              <w:ind w:firstLine="30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наведено у додатку 23</w:t>
            </w:r>
          </w:p>
          <w:p w14:paraId="7A7C6347" w14:textId="77777777" w:rsidR="00CA05D6" w:rsidRPr="00B6788F" w:rsidRDefault="00CA05D6">
            <w:pPr>
              <w:shd w:val="clear" w:color="auto" w:fill="FFFFFF"/>
              <w:ind w:firstLine="306"/>
              <w:jc w:val="both"/>
              <w:rPr>
                <w:rFonts w:ascii="Times New Roman" w:eastAsia="Times New Roman" w:hAnsi="Times New Roman" w:cs="Times New Roman"/>
                <w:color w:val="0D0D0D"/>
                <w:sz w:val="26"/>
                <w:szCs w:val="26"/>
              </w:rPr>
            </w:pPr>
          </w:p>
        </w:tc>
      </w:tr>
      <w:tr w:rsidR="00CA05D6" w:rsidRPr="00B6788F" w14:paraId="09240BEC" w14:textId="77777777">
        <w:trPr>
          <w:trHeight w:val="240"/>
        </w:trPr>
        <w:tc>
          <w:tcPr>
            <w:tcW w:w="15730" w:type="dxa"/>
            <w:gridSpan w:val="3"/>
            <w:tcBorders>
              <w:right w:val="single" w:sz="4" w:space="0" w:color="000000"/>
            </w:tcBorders>
            <w:shd w:val="clear" w:color="auto" w:fill="FFFFFF"/>
          </w:tcPr>
          <w:p w14:paraId="4FA85DD1"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i/>
                <w:color w:val="0D0D0D"/>
                <w:sz w:val="26"/>
                <w:szCs w:val="26"/>
              </w:rPr>
              <w:t>Міністерство аграрної політики та продовольства України</w:t>
            </w:r>
          </w:p>
        </w:tc>
      </w:tr>
      <w:tr w:rsidR="00CA05D6" w:rsidRPr="00B6788F" w14:paraId="125776BA" w14:textId="77777777">
        <w:trPr>
          <w:trHeight w:val="240"/>
        </w:trPr>
        <w:tc>
          <w:tcPr>
            <w:tcW w:w="660" w:type="dxa"/>
            <w:tcBorders>
              <w:right w:val="single" w:sz="4" w:space="0" w:color="000000"/>
            </w:tcBorders>
            <w:shd w:val="clear" w:color="auto" w:fill="auto"/>
          </w:tcPr>
          <w:p w14:paraId="46EA0CEA"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24.</w:t>
            </w:r>
          </w:p>
        </w:tc>
        <w:tc>
          <w:tcPr>
            <w:tcW w:w="4013" w:type="dxa"/>
            <w:tcBorders>
              <w:right w:val="single" w:sz="4" w:space="0" w:color="000000"/>
            </w:tcBorders>
            <w:shd w:val="clear" w:color="auto" w:fill="auto"/>
          </w:tcPr>
          <w:p w14:paraId="1BFE3EFB"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Вивчення впливу бойових дій на сільськогосподарські угіддя України (Київська, Житомирська, Сумська, Харківська, Херсонська та Чернігівська області) та визначення придатності ґрунтів для вирощування сільськогосподарської продукції</w:t>
            </w:r>
          </w:p>
          <w:p w14:paraId="03C2F216" w14:textId="77777777" w:rsidR="00CA05D6" w:rsidRPr="00B6788F" w:rsidRDefault="00CA05D6">
            <w:pPr>
              <w:shd w:val="clear" w:color="auto" w:fill="FFFFFF"/>
              <w:jc w:val="both"/>
              <w:rPr>
                <w:rFonts w:ascii="Times New Roman" w:eastAsia="Times New Roman" w:hAnsi="Times New Roman" w:cs="Times New Roman"/>
                <w:b/>
                <w:color w:val="0D0D0D"/>
                <w:sz w:val="26"/>
                <w:szCs w:val="26"/>
              </w:rPr>
            </w:pPr>
          </w:p>
          <w:p w14:paraId="68CDF3BB" w14:textId="77777777" w:rsidR="00CA05D6" w:rsidRPr="00B6788F" w:rsidRDefault="00CA05D6">
            <w:pPr>
              <w:shd w:val="clear" w:color="auto" w:fill="FFFFFF"/>
              <w:jc w:val="both"/>
              <w:rPr>
                <w:rFonts w:ascii="Times New Roman" w:eastAsia="Times New Roman" w:hAnsi="Times New Roman" w:cs="Times New Roman"/>
                <w:b/>
                <w:color w:val="0D0D0D"/>
                <w:sz w:val="26"/>
                <w:szCs w:val="26"/>
              </w:rPr>
            </w:pPr>
          </w:p>
        </w:tc>
        <w:tc>
          <w:tcPr>
            <w:tcW w:w="11057" w:type="dxa"/>
            <w:tcBorders>
              <w:left w:val="single" w:sz="4" w:space="0" w:color="000000"/>
              <w:right w:val="single" w:sz="4" w:space="0" w:color="000000"/>
            </w:tcBorders>
            <w:shd w:val="clear" w:color="auto" w:fill="auto"/>
          </w:tcPr>
          <w:p w14:paraId="400C408C" w14:textId="77777777" w:rsidR="00CA05D6" w:rsidRPr="00B6788F" w:rsidRDefault="002E1C3B">
            <w:pPr>
              <w:pBdr>
                <w:top w:val="nil"/>
                <w:left w:val="nil"/>
                <w:bottom w:val="nil"/>
                <w:right w:val="nil"/>
                <w:between w:val="nil"/>
              </w:pBdr>
              <w:shd w:val="clear" w:color="auto" w:fill="FFFFFF"/>
              <w:ind w:firstLine="30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t>Встановлення еколого-агрохімічного стану ґрунтів, виявлення хімічного та радіоактивного забруднення, механічних пошкоджень, встановлення меж забруднених ділянок, оцінка ступеня деградації ґрунтів, встановлення придатності використання забруднених (пошкоджених) ділянок для вирощування сільськогосподарської продукції.</w:t>
            </w:r>
          </w:p>
          <w:p w14:paraId="31151F1D" w14:textId="77777777" w:rsidR="00CA05D6" w:rsidRPr="00B6788F" w:rsidRDefault="002E1C3B">
            <w:pPr>
              <w:shd w:val="clear" w:color="auto" w:fill="FFFFFF"/>
              <w:ind w:firstLine="306"/>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Вихідне технічне завдання на виконання науково-технічної роботи до зазначеної тематики навдено у додатку 24</w:t>
            </w:r>
          </w:p>
        </w:tc>
      </w:tr>
      <w:tr w:rsidR="00CA05D6" w:rsidRPr="00B6788F" w14:paraId="01BB0749" w14:textId="77777777">
        <w:trPr>
          <w:trHeight w:val="240"/>
        </w:trPr>
        <w:tc>
          <w:tcPr>
            <w:tcW w:w="15730" w:type="dxa"/>
            <w:gridSpan w:val="3"/>
            <w:tcBorders>
              <w:right w:val="single" w:sz="4" w:space="0" w:color="000000"/>
            </w:tcBorders>
            <w:shd w:val="clear" w:color="auto" w:fill="FFFFFF"/>
          </w:tcPr>
          <w:p w14:paraId="40727338" w14:textId="77777777" w:rsidR="00CA05D6" w:rsidRPr="00B6788F" w:rsidRDefault="002E1C3B">
            <w:pPr>
              <w:shd w:val="clear" w:color="auto" w:fill="FFFFFF"/>
              <w:ind w:firstLine="234"/>
              <w:jc w:val="center"/>
              <w:rPr>
                <w:rFonts w:ascii="Times New Roman" w:eastAsia="Times New Roman" w:hAnsi="Times New Roman" w:cs="Times New Roman"/>
                <w:b/>
                <w:i/>
                <w:color w:val="0D0D0D"/>
                <w:sz w:val="26"/>
                <w:szCs w:val="26"/>
              </w:rPr>
            </w:pPr>
            <w:r w:rsidRPr="00B6788F">
              <w:rPr>
                <w:rFonts w:ascii="Times New Roman" w:eastAsia="Times New Roman" w:hAnsi="Times New Roman" w:cs="Times New Roman"/>
                <w:b/>
                <w:i/>
                <w:color w:val="0D0D0D"/>
                <w:sz w:val="26"/>
                <w:szCs w:val="26"/>
              </w:rPr>
              <w:t>Міністерство захисту довкілля та природних ресурсів України</w:t>
            </w:r>
          </w:p>
        </w:tc>
      </w:tr>
      <w:tr w:rsidR="00CA05D6" w:rsidRPr="00B6788F" w14:paraId="6DE09354" w14:textId="77777777">
        <w:trPr>
          <w:trHeight w:val="240"/>
        </w:trPr>
        <w:tc>
          <w:tcPr>
            <w:tcW w:w="660" w:type="dxa"/>
            <w:tcBorders>
              <w:right w:val="single" w:sz="4" w:space="0" w:color="000000"/>
            </w:tcBorders>
            <w:shd w:val="clear" w:color="auto" w:fill="auto"/>
          </w:tcPr>
          <w:p w14:paraId="7F132A1F" w14:textId="77777777" w:rsidR="00CA05D6" w:rsidRPr="00B6788F" w:rsidRDefault="002E1C3B">
            <w:pPr>
              <w:shd w:val="clear" w:color="auto" w:fill="FFFFFF"/>
              <w:jc w:val="center"/>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t>25.</w:t>
            </w:r>
          </w:p>
        </w:tc>
        <w:tc>
          <w:tcPr>
            <w:tcW w:w="4013" w:type="dxa"/>
            <w:tcBorders>
              <w:right w:val="single" w:sz="4" w:space="0" w:color="000000"/>
            </w:tcBorders>
            <w:shd w:val="clear" w:color="auto" w:fill="auto"/>
          </w:tcPr>
          <w:p w14:paraId="1D43E6B8" w14:textId="77777777" w:rsidR="00CA05D6" w:rsidRPr="00B6788F" w:rsidRDefault="002E1C3B">
            <w:pPr>
              <w:shd w:val="clear" w:color="auto" w:fill="FFFFFF"/>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Вплив руйнування Каховської ГЕС та знищення Каховського водосховища на </w:t>
            </w:r>
            <w:r w:rsidRPr="00B6788F">
              <w:rPr>
                <w:rFonts w:ascii="Times New Roman" w:eastAsia="Times New Roman" w:hAnsi="Times New Roman" w:cs="Times New Roman"/>
                <w:b/>
                <w:color w:val="0D0D0D"/>
                <w:sz w:val="26"/>
                <w:szCs w:val="26"/>
              </w:rPr>
              <w:lastRenderedPageBreak/>
              <w:t>водогосподарський баланс басейну Дніпра</w:t>
            </w:r>
          </w:p>
        </w:tc>
        <w:tc>
          <w:tcPr>
            <w:tcW w:w="11057" w:type="dxa"/>
            <w:tcBorders>
              <w:left w:val="single" w:sz="4" w:space="0" w:color="000000"/>
              <w:right w:val="single" w:sz="4" w:space="0" w:color="000000"/>
            </w:tcBorders>
            <w:shd w:val="clear" w:color="auto" w:fill="auto"/>
          </w:tcPr>
          <w:p w14:paraId="50F6EA33" w14:textId="77777777" w:rsidR="00CA05D6" w:rsidRPr="00B6788F" w:rsidRDefault="002E1C3B">
            <w:pPr>
              <w:shd w:val="clear" w:color="auto" w:fill="FFFFFF"/>
              <w:ind w:firstLine="306"/>
              <w:jc w:val="both"/>
              <w:rPr>
                <w:rFonts w:ascii="Times New Roman" w:eastAsia="Times New Roman" w:hAnsi="Times New Roman" w:cs="Times New Roman"/>
                <w:color w:val="0D0D0D"/>
                <w:sz w:val="26"/>
                <w:szCs w:val="26"/>
              </w:rPr>
            </w:pPr>
            <w:r w:rsidRPr="00B6788F">
              <w:rPr>
                <w:rFonts w:ascii="Times New Roman" w:eastAsia="Times New Roman" w:hAnsi="Times New Roman" w:cs="Times New Roman"/>
                <w:color w:val="0D0D0D"/>
                <w:sz w:val="26"/>
                <w:szCs w:val="26"/>
              </w:rPr>
              <w:lastRenderedPageBreak/>
              <w:t>Розроблення інформаційної моделі водогосподарського балансу із врахуванням відсутності Каховського водосховища; оцінка наявності та можливості використання водних ресурсів у районах басейну річки Дніпро.</w:t>
            </w:r>
          </w:p>
          <w:p w14:paraId="2B8379B3" w14:textId="77777777" w:rsidR="00CA05D6" w:rsidRPr="00B6788F" w:rsidRDefault="002E1C3B">
            <w:pPr>
              <w:shd w:val="clear" w:color="auto" w:fill="FFFFFF"/>
              <w:ind w:firstLine="306"/>
              <w:jc w:val="both"/>
              <w:rPr>
                <w:rFonts w:ascii="Times New Roman" w:eastAsia="Times New Roman" w:hAnsi="Times New Roman" w:cs="Times New Roman"/>
                <w:b/>
                <w:color w:val="0D0D0D"/>
                <w:sz w:val="26"/>
                <w:szCs w:val="26"/>
              </w:rPr>
            </w:pPr>
            <w:r w:rsidRPr="00B6788F">
              <w:rPr>
                <w:rFonts w:ascii="Times New Roman" w:eastAsia="Times New Roman" w:hAnsi="Times New Roman" w:cs="Times New Roman"/>
                <w:color w:val="0D0D0D"/>
                <w:sz w:val="26"/>
                <w:szCs w:val="26"/>
              </w:rPr>
              <w:lastRenderedPageBreak/>
              <w:t>Вихідне технічне завдання на виконання науково-технічної роботи до зазначеної тематики наведено у додатку 25.</w:t>
            </w:r>
          </w:p>
        </w:tc>
      </w:tr>
    </w:tbl>
    <w:p w14:paraId="5B80EC68" w14:textId="77777777" w:rsidR="00CA05D6" w:rsidRPr="00B6788F" w:rsidRDefault="00CA05D6">
      <w:pPr>
        <w:shd w:val="clear" w:color="auto" w:fill="FFFFFF"/>
        <w:spacing w:after="0" w:line="240" w:lineRule="auto"/>
        <w:rPr>
          <w:rFonts w:ascii="Times New Roman" w:eastAsia="Times New Roman" w:hAnsi="Times New Roman" w:cs="Times New Roman"/>
          <w:color w:val="0D0D0D"/>
          <w:sz w:val="24"/>
          <w:szCs w:val="24"/>
        </w:rPr>
      </w:pPr>
    </w:p>
    <w:p w14:paraId="7BFA4B63" w14:textId="77777777" w:rsidR="00CA05D6" w:rsidRPr="00B6788F" w:rsidRDefault="00CA05D6">
      <w:pPr>
        <w:shd w:val="clear" w:color="auto" w:fill="FFFFFF"/>
        <w:spacing w:after="0" w:line="240" w:lineRule="auto"/>
        <w:rPr>
          <w:rFonts w:ascii="Times New Roman" w:eastAsia="Times New Roman" w:hAnsi="Times New Roman" w:cs="Times New Roman"/>
          <w:color w:val="0D0D0D"/>
          <w:sz w:val="24"/>
          <w:szCs w:val="24"/>
        </w:rPr>
      </w:pPr>
    </w:p>
    <w:p w14:paraId="4C2B0D99" w14:textId="77777777" w:rsidR="00CA05D6" w:rsidRPr="00B6788F" w:rsidRDefault="002E1C3B">
      <w:pPr>
        <w:shd w:val="clear" w:color="auto" w:fill="FFFFFF"/>
        <w:spacing w:after="0" w:line="240" w:lineRule="auto"/>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 xml:space="preserve">Генеральний директор </w:t>
      </w:r>
    </w:p>
    <w:p w14:paraId="2AB5915B" w14:textId="77777777" w:rsidR="00CA05D6" w:rsidRPr="00B6788F" w:rsidRDefault="002E1C3B">
      <w:pPr>
        <w:shd w:val="clear" w:color="auto" w:fill="FFFFFF"/>
        <w:spacing w:after="0" w:line="240" w:lineRule="auto"/>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директорату інновацій та зв’язків</w:t>
      </w:r>
    </w:p>
    <w:p w14:paraId="129623AF" w14:textId="77777777" w:rsidR="00CA05D6" w:rsidRDefault="002E1C3B">
      <w:pPr>
        <w:shd w:val="clear" w:color="auto" w:fill="FFFFFF"/>
        <w:spacing w:after="0" w:line="240" w:lineRule="auto"/>
        <w:rPr>
          <w:rFonts w:ascii="Times New Roman" w:eastAsia="Times New Roman" w:hAnsi="Times New Roman" w:cs="Times New Roman"/>
          <w:b/>
          <w:color w:val="0D0D0D"/>
          <w:sz w:val="26"/>
          <w:szCs w:val="26"/>
        </w:rPr>
      </w:pPr>
      <w:r w:rsidRPr="00B6788F">
        <w:rPr>
          <w:rFonts w:ascii="Times New Roman" w:eastAsia="Times New Roman" w:hAnsi="Times New Roman" w:cs="Times New Roman"/>
          <w:b/>
          <w:color w:val="0D0D0D"/>
          <w:sz w:val="26"/>
          <w:szCs w:val="26"/>
        </w:rPr>
        <w:t>науки з реальним сектором економіки</w:t>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r>
      <w:r w:rsidRPr="00B6788F">
        <w:rPr>
          <w:rFonts w:ascii="Times New Roman" w:eastAsia="Times New Roman" w:hAnsi="Times New Roman" w:cs="Times New Roman"/>
          <w:b/>
          <w:color w:val="0D0D0D"/>
          <w:sz w:val="26"/>
          <w:szCs w:val="26"/>
        </w:rPr>
        <w:tab/>
        <w:t xml:space="preserve">                                          Оксана БЕРЕЖНА</w:t>
      </w:r>
    </w:p>
    <w:p w14:paraId="24E398F6" w14:textId="77777777" w:rsidR="00CA05D6" w:rsidRDefault="00CA05D6">
      <w:pPr>
        <w:shd w:val="clear" w:color="auto" w:fill="FFFFFF"/>
        <w:spacing w:after="0" w:line="240" w:lineRule="auto"/>
        <w:rPr>
          <w:rFonts w:ascii="Times New Roman" w:eastAsia="Times New Roman" w:hAnsi="Times New Roman" w:cs="Times New Roman"/>
          <w:b/>
          <w:color w:val="0D0D0D"/>
          <w:sz w:val="26"/>
          <w:szCs w:val="26"/>
        </w:rPr>
      </w:pPr>
    </w:p>
    <w:sectPr w:rsidR="00CA05D6">
      <w:headerReference w:type="default" r:id="rId7"/>
      <w:pgSz w:w="16838" w:h="11906" w:orient="landscape"/>
      <w:pgMar w:top="1418"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F05B" w14:textId="77777777" w:rsidR="00074117" w:rsidRDefault="00074117">
      <w:pPr>
        <w:spacing w:after="0" w:line="240" w:lineRule="auto"/>
      </w:pPr>
      <w:r>
        <w:separator/>
      </w:r>
    </w:p>
  </w:endnote>
  <w:endnote w:type="continuationSeparator" w:id="0">
    <w:p w14:paraId="5C5AD7AE" w14:textId="77777777" w:rsidR="00074117" w:rsidRDefault="0007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5C5D" w14:textId="77777777" w:rsidR="00074117" w:rsidRDefault="00074117">
      <w:pPr>
        <w:spacing w:after="0" w:line="240" w:lineRule="auto"/>
      </w:pPr>
      <w:r>
        <w:separator/>
      </w:r>
    </w:p>
  </w:footnote>
  <w:footnote w:type="continuationSeparator" w:id="0">
    <w:p w14:paraId="7505F2EE" w14:textId="77777777" w:rsidR="00074117" w:rsidRDefault="0007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643" w14:textId="77777777" w:rsidR="00CA05D6" w:rsidRDefault="002E1C3B">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652D5">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0E3FAD47" w14:textId="77777777" w:rsidR="00CA05D6" w:rsidRDefault="00CA05D6">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D6"/>
    <w:rsid w:val="00074117"/>
    <w:rsid w:val="001652D5"/>
    <w:rsid w:val="001A5886"/>
    <w:rsid w:val="00273E7A"/>
    <w:rsid w:val="002E1C3B"/>
    <w:rsid w:val="0055177A"/>
    <w:rsid w:val="006B3FB1"/>
    <w:rsid w:val="00B6788F"/>
    <w:rsid w:val="00C32446"/>
    <w:rsid w:val="00CA05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A04D"/>
  <w15:docId w15:val="{E689E2EE-EB50-40B1-8A71-FDD3BB6B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6A05"/>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a5">
    <w:name w:val="Table Grid"/>
    <w:basedOn w:val="a1"/>
    <w:uiPriority w:val="39"/>
    <w:rsid w:val="00FD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D0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uiPriority w:val="10"/>
    <w:rsid w:val="00886A05"/>
    <w:rPr>
      <w:rFonts w:ascii="Calibri" w:eastAsia="Calibri" w:hAnsi="Calibri" w:cs="Calibri"/>
      <w:b/>
      <w:sz w:val="72"/>
      <w:szCs w:val="72"/>
      <w:lang w:eastAsia="uk-UA"/>
    </w:rPr>
  </w:style>
  <w:style w:type="character" w:styleId="a7">
    <w:name w:val="Hyperlink"/>
    <w:basedOn w:val="a0"/>
    <w:uiPriority w:val="99"/>
    <w:semiHidden/>
    <w:unhideWhenUsed/>
    <w:rsid w:val="00AF6F93"/>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F679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679D0"/>
    <w:rPr>
      <w:rFonts w:ascii="Segoe UI" w:hAnsi="Segoe UI" w:cs="Segoe UI"/>
      <w:sz w:val="18"/>
      <w:szCs w:val="18"/>
    </w:rPr>
  </w:style>
  <w:style w:type="paragraph" w:styleId="af0">
    <w:name w:val="annotation subject"/>
    <w:basedOn w:val="aa"/>
    <w:next w:val="aa"/>
    <w:link w:val="af1"/>
    <w:uiPriority w:val="99"/>
    <w:semiHidden/>
    <w:unhideWhenUsed/>
    <w:rsid w:val="00F679D0"/>
    <w:rPr>
      <w:b/>
      <w:bCs/>
    </w:rPr>
  </w:style>
  <w:style w:type="character" w:customStyle="1" w:styleId="af1">
    <w:name w:val="Тема примечания Знак"/>
    <w:basedOn w:val="ab"/>
    <w:link w:val="af0"/>
    <w:uiPriority w:val="99"/>
    <w:semiHidden/>
    <w:rsid w:val="00F679D0"/>
    <w:rPr>
      <w:b/>
      <w:bCs/>
      <w:sz w:val="20"/>
      <w:szCs w:val="20"/>
    </w:rPr>
  </w:style>
  <w:style w:type="paragraph" w:styleId="af2">
    <w:name w:val="header"/>
    <w:basedOn w:val="a"/>
    <w:link w:val="af3"/>
    <w:uiPriority w:val="99"/>
    <w:unhideWhenUsed/>
    <w:rsid w:val="00FD3805"/>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FD3805"/>
  </w:style>
  <w:style w:type="paragraph" w:styleId="af4">
    <w:name w:val="footer"/>
    <w:basedOn w:val="a"/>
    <w:link w:val="af5"/>
    <w:uiPriority w:val="99"/>
    <w:unhideWhenUsed/>
    <w:rsid w:val="00FD3805"/>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FD3805"/>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cnKMGDrmADw5QSBOIv0EvHxvg==">CgMxLjAyCWguMzBqMHpsbDIIaC5namRneHMyCWguM3pueXNoNzIOaC43cGJkcTNocjNsNW44AGonChRzdWdnZXN0LmlqNHd0cG1ibTcxdBIPT2tzYW5hIEJlcmV6aG5hciExSGd2M1JWUnBPM3RUSExfalJBWnV1ZGxCSGlkMkwtcVU=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2422</Words>
  <Characters>13811</Characters>
  <Application>Microsoft Office Word</Application>
  <DocSecurity>0</DocSecurity>
  <Lines>115</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Курбатов Денис Ігорович</dc:creator>
  <cp:lastModifiedBy>Serhii Zharinov</cp:lastModifiedBy>
  <cp:revision>5</cp:revision>
  <cp:lastPrinted>2024-06-06T13:53:00Z</cp:lastPrinted>
  <dcterms:created xsi:type="dcterms:W3CDTF">2024-05-28T13:36:00Z</dcterms:created>
  <dcterms:modified xsi:type="dcterms:W3CDTF">2024-06-07T11:34:00Z</dcterms:modified>
</cp:coreProperties>
</file>